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sz w:val="28"/>
          <w:szCs w:val="28"/>
        </w:rPr>
      </w:pPr>
      <w:r>
        <w:rPr>
          <w:rFonts w:cs="Arial" w:ascii="Verdana" w:hAnsi="Verdana"/>
          <w:b/>
          <w:bCs/>
          <w:smallCaps/>
          <w:color w:val="000000"/>
          <w:sz w:val="28"/>
          <w:szCs w:val="28"/>
        </w:rPr>
        <w:t xml:space="preserve">EDITAL </w:t>
      </w:r>
    </w:p>
    <w:p>
      <w:pPr>
        <w:pStyle w:val="Normal"/>
        <w:spacing w:lineRule="auto" w:line="276"/>
        <w:jc w:val="center"/>
        <w:rPr>
          <w:rFonts w:ascii="Verdana" w:hAnsi="Verdana"/>
          <w:sz w:val="28"/>
          <w:szCs w:val="28"/>
        </w:rPr>
      </w:pPr>
      <w:r>
        <w:rPr>
          <w:rFonts w:cs="Arial" w:ascii="Verdana" w:hAnsi="Verdana"/>
          <w:b/>
          <w:bCs/>
          <w:smallCaps/>
          <w:color w:val="000000"/>
          <w:sz w:val="28"/>
          <w:szCs w:val="28"/>
        </w:rPr>
        <w:t>PREGÃO ELETRÔNICO Nº 017/2026</w:t>
      </w:r>
    </w:p>
    <w:p>
      <w:pPr>
        <w:pStyle w:val="Normal"/>
        <w:spacing w:lineRule="auto" w:line="276"/>
        <w:jc w:val="center"/>
        <w:rPr>
          <w:rFonts w:ascii="Verdana" w:hAnsi="Verdana" w:cs="Arial"/>
          <w:b/>
          <w:smallCaps/>
          <w:color w:val="000000"/>
          <w:sz w:val="28"/>
          <w:szCs w:val="28"/>
        </w:rPr>
      </w:pPr>
      <w:r>
        <w:rPr>
          <w:rFonts w:cs="Arial" w:ascii="Verdana" w:hAnsi="Verdana"/>
          <w:b/>
          <w:smallCaps/>
          <w:color w:val="000000"/>
          <w:sz w:val="28"/>
          <w:szCs w:val="28"/>
        </w:rPr>
        <w:t>(Processo Administrativo n° 3437/2026 de 19/05/2026)</w:t>
      </w:r>
    </w:p>
    <w:p>
      <w:pPr>
        <w:pStyle w:val="Normal"/>
        <w:spacing w:lineRule="auto" w:line="276"/>
        <w:jc w:val="center"/>
        <w:rPr>
          <w:rFonts w:ascii="Verdana" w:hAnsi="Verdana"/>
          <w:sz w:val="20"/>
          <w:szCs w:val="20"/>
        </w:rPr>
      </w:pPr>
      <w:r>
        <w:rPr>
          <w:rFonts w:cs="Arial" w:ascii="Verdana" w:hAnsi="Verdana"/>
          <w:b/>
          <w:smallCaps/>
          <w:color w:val="000000"/>
          <w:sz w:val="28"/>
          <w:szCs w:val="28"/>
        </w:rPr>
        <w:t>ID CIDADES: 2026.065E0500001.01.0011</w:t>
      </w:r>
    </w:p>
    <w:p>
      <w:pPr>
        <w:pStyle w:val="Normal"/>
        <w:spacing w:lineRule="auto" w:line="276"/>
        <w:jc w:val="center"/>
        <w:rPr>
          <w:rFonts w:ascii="Verdana" w:hAnsi="Verdana"/>
          <w:sz w:val="20"/>
          <w:szCs w:val="20"/>
        </w:rPr>
      </w:pPr>
      <w:r>
        <w:rPr>
          <w:rFonts w:ascii="Verdana" w:hAnsi="Verdana"/>
          <w:sz w:val="20"/>
          <w:szCs w:val="20"/>
        </w:rPr>
      </w:r>
    </w:p>
    <w:p>
      <w:pPr>
        <w:pStyle w:val="Normal"/>
        <w:spacing w:lineRule="auto" w:line="276"/>
        <w:jc w:val="center"/>
        <w:rPr>
          <w:rFonts w:ascii="Verdana" w:hAnsi="Verdana"/>
          <w:sz w:val="20"/>
          <w:szCs w:val="20"/>
        </w:rPr>
      </w:pPr>
      <w:r>
        <w:rPr>
          <w:rFonts w:ascii="Verdana" w:hAnsi="Verdana"/>
          <w:sz w:val="20"/>
          <w:szCs w:val="20"/>
        </w:rPr>
      </w:r>
    </w:p>
    <w:p>
      <w:pPr>
        <w:pStyle w:val="BodyText"/>
        <w:spacing w:lineRule="auto" w:line="276" w:before="57" w:after="0"/>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before="57" w:after="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before="57" w:after="0"/>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25/06/</w:t>
      </w:r>
      <w:r>
        <w:rPr>
          <w:rFonts w:cs="Arial" w:ascii="Verdana" w:hAnsi="Verdana"/>
          <w:b/>
          <w:bCs/>
          <w:color w:val="000000"/>
          <w:sz w:val="20"/>
          <w:szCs w:val="20"/>
        </w:rPr>
        <w:t>2026.</w:t>
      </w:r>
    </w:p>
    <w:p>
      <w:pPr>
        <w:pStyle w:val="Normal"/>
        <w:spacing w:lineRule="auto" w:line="276" w:before="57" w:after="0"/>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13</w:t>
      </w:r>
      <w:r>
        <w:rPr>
          <w:rFonts w:cs="Arial" w:ascii="Verdana" w:hAnsi="Verdana"/>
          <w:b/>
          <w:bCs/>
          <w:color w:val="000000"/>
          <w:sz w:val="20"/>
          <w:szCs w:val="20"/>
        </w:rPr>
        <w:t>h</w:t>
      </w:r>
      <w:r>
        <w:rPr>
          <w:rFonts w:cs="Arial" w:ascii="Verdana" w:hAnsi="Verdana"/>
          <w:b/>
          <w:bCs/>
          <w:color w:val="000000"/>
          <w:sz w:val="20"/>
          <w:szCs w:val="20"/>
        </w:rPr>
        <w:t>00</w:t>
      </w:r>
      <w:r>
        <w:rPr>
          <w:rFonts w:cs="Arial" w:ascii="Verdana" w:hAnsi="Verdana"/>
          <w:b/>
          <w:bCs/>
          <w:color w:val="000000"/>
          <w:sz w:val="20"/>
          <w:szCs w:val="20"/>
        </w:rPr>
        <w:t>min.</w:t>
      </w:r>
    </w:p>
    <w:p>
      <w:pPr>
        <w:pStyle w:val="Default"/>
        <w:spacing w:lineRule="auto" w:line="276" w:before="57" w:after="0"/>
        <w:rPr>
          <w:rFonts w:ascii="Verdana" w:hAnsi="Verdana"/>
          <w:sz w:val="20"/>
          <w:szCs w:val="20"/>
        </w:rPr>
      </w:pPr>
      <w:r>
        <w:rPr>
          <w:rFonts w:ascii="Verdana" w:hAnsi="Verdana"/>
          <w:b/>
          <w:sz w:val="20"/>
          <w:szCs w:val="20"/>
        </w:rPr>
        <w:t xml:space="preserve">Local: Portal de Compras Públicas – </w:t>
      </w:r>
      <w:r>
        <w:rPr>
          <w:rFonts w:ascii="Verdana" w:hAnsi="Verdana"/>
          <w:b/>
          <w:color w:val="0462C1"/>
          <w:sz w:val="20"/>
          <w:szCs w:val="20"/>
        </w:rPr>
        <w:t xml:space="preserve">www.portaldecompraspublicas.com.br </w:t>
      </w:r>
    </w:p>
    <w:p>
      <w:pPr>
        <w:pStyle w:val="Normal"/>
        <w:spacing w:lineRule="auto" w:line="276" w:before="57" w:after="0"/>
        <w:rPr/>
      </w:pPr>
      <w:r>
        <w:rPr>
          <w:rStyle w:val="InternetLink"/>
          <w:rFonts w:cs="Arial" w:ascii="Verdana" w:hAnsi="Verdana"/>
          <w:b/>
          <w:bCs/>
          <w:color w:val="000000"/>
          <w:sz w:val="20"/>
          <w:szCs w:val="20"/>
          <w:u w:val="none"/>
        </w:rPr>
        <w:t>UASG: 985693</w:t>
      </w:r>
    </w:p>
    <w:p>
      <w:pPr>
        <w:pStyle w:val="Normal"/>
        <w:spacing w:lineRule="auto" w:line="276" w:before="57" w:after="0"/>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0"/>
        <w:ind w:hanging="0" w:left="0"/>
        <w:rPr>
          <w:rFonts w:ascii="Verdana" w:hAnsi="Verdana"/>
        </w:rPr>
      </w:pPr>
      <w:r>
        <w:rPr>
          <w:rFonts w:cs="Arial" w:ascii="Verdana" w:hAnsi="Verdana"/>
        </w:rPr>
        <w:t>DO OBJETO</w:t>
      </w:r>
    </w:p>
    <w:p>
      <w:pPr>
        <w:pStyle w:val="ListParagraph"/>
        <w:spacing w:lineRule="auto" w:line="276" w:before="0" w:after="0"/>
        <w:ind w:left="0"/>
        <w:contextualSpacing w:val="false"/>
        <w:jc w:val="both"/>
        <w:rPr>
          <w:rFonts w:ascii="Verdana" w:hAnsi="Verdana"/>
          <w:sz w:val="20"/>
          <w:szCs w:val="20"/>
        </w:rPr>
      </w:pPr>
      <w:r>
        <w:rPr>
          <w:rFonts w:cs="Arial" w:ascii="Verdana" w:hAnsi="Verdana"/>
          <w:color w:val="000000"/>
          <w:sz w:val="20"/>
          <w:szCs w:val="20"/>
        </w:rPr>
        <w:t xml:space="preserve">1.1 O objeto da presente licitação é a </w:t>
      </w:r>
      <w:bookmarkStart w:id="0" w:name="_Hlk177455480"/>
      <w:r>
        <w:rPr>
          <w:rFonts w:cs="Arial" w:ascii="Verdana" w:hAnsi="Verdana"/>
          <w:sz w:val="20"/>
          <w:szCs w:val="20"/>
        </w:rPr>
        <w:t>aquisição de equipamentos eletrônicos</w:t>
      </w:r>
      <w:r>
        <w:rPr>
          <w:rFonts w:eastAsia="Times New Roman" w:cs="Arial" w:ascii="Verdana" w:hAnsi="Verdana"/>
          <w:bCs/>
          <w:sz w:val="20"/>
          <w:szCs w:val="20"/>
        </w:rPr>
        <w:t xml:space="preserve"> para atender as necessidades da secretaria Municipal de Saúde</w:t>
      </w:r>
      <w:r>
        <w:rPr>
          <w:rFonts w:cs="Arial" w:ascii="Verdana" w:hAnsi="Verdana"/>
          <w:bCs/>
          <w:sz w:val="20"/>
          <w:szCs w:val="20"/>
        </w:rPr>
        <w:t>, deste município</w:t>
      </w:r>
      <w:r>
        <w:rPr>
          <w:rFonts w:eastAsia="Times New Roman" w:cs="Times New Roman" w:ascii="Verdana" w:hAnsi="Verdana"/>
          <w:iCs/>
          <w:sz w:val="20"/>
          <w:szCs w:val="20"/>
        </w:rPr>
        <w:t xml:space="preserve">, </w:t>
      </w:r>
      <w:bookmarkEnd w:id="0"/>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76"/>
        <w:jc w:val="both"/>
        <w:rPr>
          <w:rFonts w:ascii="Verdana" w:hAnsi="Verdana"/>
          <w:sz w:val="20"/>
          <w:szCs w:val="20"/>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spacing w:lineRule="auto" w:line="276"/>
        <w:jc w:val="both"/>
        <w:rPr>
          <w:rFonts w:ascii="Verdana" w:hAnsi="Verdana"/>
          <w:sz w:val="20"/>
          <w:szCs w:val="20"/>
        </w:rPr>
      </w:pPr>
      <w:r>
        <w:rPr>
          <w:rFonts w:cs="Arial" w:ascii="Verdana" w:hAnsi="Verdana"/>
          <w:b/>
          <w:bCs/>
          <w:iCs/>
          <w:color w:val="000000"/>
          <w:sz w:val="20"/>
          <w:szCs w:val="20"/>
          <w:highlight w:val="yellow"/>
        </w:rPr>
        <w:t xml:space="preserve">1.3 </w:t>
      </w:r>
      <w:r>
        <w:rPr>
          <w:rFonts w:eastAsia="Batang;바탕" w:cs="Arial" w:ascii="Verdana" w:hAnsi="Verdana"/>
          <w:b/>
          <w:bCs/>
          <w:color w:val="000000"/>
          <w:sz w:val="20"/>
          <w:szCs w:val="20"/>
          <w:highlight w:val="yellow"/>
        </w:rPr>
        <w:t>A licitação correspondente ocorrerá com exclusividade para microempresas ou empresas de pequeno porte.</w:t>
      </w:r>
    </w:p>
    <w:p>
      <w:pPr>
        <w:pStyle w:val="Normal"/>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0"/>
        <w:ind w:hanging="0" w:left="0"/>
        <w:rPr>
          <w:rFonts w:ascii="Verdana" w:hAnsi="Verdana"/>
        </w:rPr>
      </w:pPr>
      <w:r>
        <w:rPr>
          <w:rFonts w:cs="Arial" w:ascii="Verdana" w:hAnsi="Verdana"/>
        </w:rPr>
        <w:t>DOS RECURSOS ORÇAMENTÁRIOS</w:t>
      </w:r>
    </w:p>
    <w:p>
      <w:pPr>
        <w:pStyle w:val="Normal"/>
        <w:spacing w:lineRule="auto" w:line="276" w:before="57" w:after="0"/>
        <w:jc w:val="both"/>
        <w:rPr>
          <w:rFonts w:ascii="Verdana" w:hAnsi="Verdana"/>
          <w:sz w:val="20"/>
          <w:szCs w:val="20"/>
        </w:rPr>
      </w:pPr>
      <w:r>
        <w:rPr>
          <w:rFonts w:cs="Arial" w:ascii="Verdana" w:hAnsi="Verdana"/>
          <w:color w:val="000000"/>
          <w:sz w:val="20"/>
          <w:szCs w:val="20"/>
        </w:rPr>
        <w:t xml:space="preserve">2.1. </w:t>
      </w:r>
      <w:r>
        <w:rPr>
          <w:rFonts w:cs="Times New Roman" w:ascii="Verdana" w:hAnsi="Verdana"/>
          <w:color w:val="000000"/>
          <w:sz w:val="20"/>
          <w:szCs w:val="20"/>
        </w:rPr>
        <w:t>Os recursos necessários para a prestação dos serviços correrão a conta de dotações próprias consignadas no Orçamento vigente, conforme discriminado abaixo:</w:t>
      </w:r>
    </w:p>
    <w:p>
      <w:pPr>
        <w:pStyle w:val="Normal"/>
        <w:spacing w:lineRule="auto" w:line="276" w:before="57" w:after="0"/>
        <w:jc w:val="both"/>
        <w:rPr>
          <w:rFonts w:ascii="Verdana" w:hAnsi="Verdana"/>
          <w:sz w:val="20"/>
          <w:szCs w:val="20"/>
        </w:rPr>
      </w:pPr>
      <w:r>
        <w:rPr>
          <w:rFonts w:cs="Times New Roman" w:ascii="Verdana" w:hAnsi="Verdana"/>
          <w:b/>
          <w:bCs/>
          <w:sz w:val="20"/>
          <w:szCs w:val="20"/>
          <w:lang w:eastAsia="ar-SA"/>
        </w:rPr>
        <w:t xml:space="preserve">– </w:t>
      </w:r>
      <w:r>
        <w:rPr>
          <w:rFonts w:cs="Times New Roman" w:ascii="Verdana" w:hAnsi="Verdana"/>
          <w:b/>
          <w:bCs/>
          <w:sz w:val="20"/>
          <w:szCs w:val="20"/>
          <w:lang w:eastAsia="ar-SA"/>
        </w:rPr>
        <w:t>Secretaria Municipal de Saúde</w:t>
      </w:r>
    </w:p>
    <w:p>
      <w:pPr>
        <w:pStyle w:val="Normal"/>
        <w:spacing w:lineRule="auto" w:line="276"/>
        <w:jc w:val="both"/>
        <w:rPr>
          <w:rFonts w:ascii="Verdana" w:hAnsi="Verdana"/>
          <w:sz w:val="20"/>
          <w:szCs w:val="20"/>
        </w:rPr>
      </w:pPr>
      <w:r>
        <w:rPr>
          <w:rFonts w:cs="Arial" w:ascii="Verdana" w:hAnsi="Verdana"/>
          <w:bCs/>
          <w:sz w:val="20"/>
          <w:szCs w:val="20"/>
          <w:shd w:fill="FFFFFF" w:val="clear"/>
        </w:rPr>
        <w:t xml:space="preserve">Projeto/Atividade – 000004000002.1030142012.403 – Manutenção, Restruturação e Modernização do Fundo Municipal de Saúde – Ficha 513 (EQUIPAMENTO E MATERIAL PERMANENTE) – Fonte de Recurso 150000150000 ficando na responsabilidade </w:t>
      </w:r>
      <w:r>
        <w:rPr>
          <w:rFonts w:eastAsia="Times New Roman" w:cs="Arial" w:ascii="Verdana" w:hAnsi="Verdana"/>
          <w:color w:val="000000"/>
          <w:sz w:val="20"/>
          <w:szCs w:val="20"/>
          <w:shd w:fill="FFFFFF" w:val="clear"/>
        </w:rPr>
        <w:t>recurso FUNDO MUNICIPAL DE SAÚDE.</w:t>
      </w:r>
    </w:p>
    <w:p>
      <w:pPr>
        <w:pStyle w:val="Normal"/>
        <w:spacing w:lineRule="auto" w:line="276" w:before="57" w:after="0"/>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DO CREDENCIAMENTO</w:t>
      </w:r>
    </w:p>
    <w:p>
      <w:pPr>
        <w:pStyle w:val="Default"/>
        <w:spacing w:lineRule="auto" w:line="276"/>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ind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ind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76"/>
        <w:ind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ind w:right="113"/>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ind w:right="113"/>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spacing w:lineRule="auto" w:line="276"/>
        <w:rPr>
          <w:rFonts w:ascii="Verdana" w:hAnsi="Verdana"/>
          <w:sz w:val="20"/>
          <w:szCs w:val="20"/>
        </w:rPr>
      </w:pPr>
      <w:r>
        <w:rPr>
          <w:rFonts w:ascii="Verdana" w:hAnsi="Verdana"/>
          <w:sz w:val="20"/>
          <w:szCs w:val="20"/>
        </w:rPr>
      </w:r>
    </w:p>
    <w:p>
      <w:pPr>
        <w:pStyle w:val="Nivel01"/>
        <w:numPr>
          <w:ilvl w:val="0"/>
          <w:numId w:val="2"/>
        </w:numPr>
        <w:spacing w:lineRule="auto" w:line="276" w:before="57" w:after="0"/>
        <w:ind w:hanging="0" w:left="0"/>
        <w:rPr>
          <w:rFonts w:ascii="Verdana" w:hAnsi="Verdana"/>
        </w:rPr>
      </w:pPr>
      <w:r>
        <w:rPr>
          <w:rFonts w:cs="Arial" w:ascii="Verdana" w:hAnsi="Verdana"/>
        </w:rPr>
        <w:t>DA PARTICIPAÇÃO NO PREGÃO.</w:t>
      </w:r>
    </w:p>
    <w:p>
      <w:pPr>
        <w:pStyle w:val="Nivel2"/>
        <w:numPr>
          <w:ilvl w:val="0"/>
          <w:numId w:val="0"/>
        </w:numPr>
        <w:suppressAutoHyphens w:val="false"/>
        <w:spacing w:before="0" w:after="0"/>
        <w:ind w:hanging="0" w:left="0"/>
        <w:rPr>
          <w:rFonts w:ascii="Verdana" w:hAnsi="Verdana"/>
        </w:rPr>
      </w:pPr>
      <w:r>
        <w:rPr>
          <w:rFonts w:cs="Arial" w:ascii="Verdana" w:hAnsi="Verdana"/>
          <w:bCs/>
          <w:color w:val="000000"/>
        </w:rPr>
        <w:t xml:space="preserve">4.1 </w:t>
      </w:r>
      <w:bookmarkStart w:id="1" w:name="_Hlk135302270"/>
      <w:bookmarkEnd w:id="1"/>
      <w:r>
        <w:rPr>
          <w:rFonts w:cs="Arial" w:ascii="Verdana" w:hAnsi="Verdana"/>
          <w:bCs/>
          <w:color w:val="000000"/>
        </w:rPr>
        <w:t>Poder</w:t>
      </w:r>
      <w:r>
        <w:rPr>
          <w:rFonts w:ascii="Verdana" w:hAnsi="Verdana"/>
        </w:rPr>
        <w:t xml:space="preserve">ão participar deste certame os interessados que atenderem as exigências contidas neste Edital e seus anexos, e que sejam possuidores de chaves de identificação e senha fornecidas para acesso ao sistema provedor. </w:t>
      </w:r>
    </w:p>
    <w:p>
      <w:pPr>
        <w:pStyle w:val="Nivel2"/>
        <w:numPr>
          <w:ilvl w:val="0"/>
          <w:numId w:val="0"/>
        </w:numPr>
        <w:suppressAutoHyphens w:val="false"/>
        <w:spacing w:before="0" w:after="0"/>
        <w:ind w:hanging="0" w:left="0"/>
        <w:rPr>
          <w:rFonts w:ascii="Verdana" w:hAnsi="Verdana"/>
        </w:rPr>
      </w:pPr>
      <w:r>
        <w:rPr>
          <w:rFonts w:ascii="Verdana" w:hAnsi="Verdana"/>
          <w:b/>
          <w:bCs/>
        </w:rPr>
        <w:t>4.2</w:t>
      </w:r>
      <w:r>
        <w:rPr>
          <w:rFonts w:ascii="Verdana" w:hAnsi="Verdana"/>
        </w:rPr>
        <w:t xml:space="preserve"> </w:t>
      </w:r>
      <w:r>
        <w:rPr>
          <w:rFonts w:cs="Arial" w:ascii="Verdana" w:hAnsi="Verdana"/>
          <w:b/>
          <w:bCs/>
          <w:iCs/>
          <w:color w:val="000000"/>
          <w:shd w:fill="FFFF00" w:val="clear"/>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57" w:after="0"/>
        <w:jc w:val="both"/>
        <w:rPr/>
      </w:pPr>
      <w:r>
        <w:rPr>
          <w:rFonts w:cs="Arial" w:ascii="Verdana" w:hAnsi="Verdana"/>
          <w:iCs/>
          <w:color w:val="000000"/>
          <w:sz w:val="20"/>
          <w:szCs w:val="20"/>
        </w:rPr>
        <w:t xml:space="preserve">4.2.1 </w:t>
      </w:r>
      <w:r>
        <w:rPr>
          <w:rStyle w:val="InternetLink"/>
          <w:rFonts w:cs="Arial" w:ascii="Verdana" w:hAnsi="Verdana"/>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napToGrid w:val="false"/>
        <w:spacing w:lineRule="auto" w:line="276" w:before="57" w:after="0"/>
        <w:jc w:val="both"/>
        <w:rPr>
          <w:rFonts w:ascii="Verdana" w:hAnsi="Verdana" w:cs="Arial"/>
          <w:b/>
          <w:bCs/>
          <w:sz w:val="20"/>
          <w:szCs w:val="20"/>
        </w:rPr>
      </w:pPr>
      <w:r>
        <w:rPr>
          <w:rStyle w:val="InternetLink"/>
          <w:rFonts w:cs="Arial" w:ascii="Verdana" w:hAnsi="Verdana"/>
          <w:b/>
          <w:bCs/>
          <w:iCs/>
          <w:color w:val="000000"/>
          <w:sz w:val="20"/>
          <w:szCs w:val="20"/>
          <w:u w:val="none"/>
          <w:shd w:fill="FFFF00" w:val="clear"/>
        </w:rPr>
        <w:t>4.2.</w:t>
      </w:r>
      <w:r>
        <w:rPr>
          <w:rStyle w:val="InternetLink"/>
          <w:rFonts w:cs="Arial" w:ascii="Verdana" w:hAnsi="Verdana"/>
          <w:b/>
          <w:bCs/>
          <w:iCs/>
          <w:color w:val="000000"/>
          <w:sz w:val="20"/>
          <w:szCs w:val="20"/>
          <w:highlight w:val="yellow"/>
          <w:u w:val="none"/>
          <w:shd w:fill="FFFF00" w:val="clear"/>
        </w:rPr>
        <w:t xml:space="preserve">2 </w:t>
      </w:r>
      <w:bookmarkStart w:id="2" w:name="_Hlk214282951"/>
      <w:r>
        <w:rPr>
          <w:rStyle w:val="InternetLink1"/>
          <w:rFonts w:cs="Arial" w:ascii="Verdana" w:hAnsi="Verdana"/>
          <w:iCs/>
          <w:color w:val="auto"/>
          <w:sz w:val="20"/>
          <w:szCs w:val="20"/>
          <w:highlight w:val="yellow"/>
        </w:rPr>
        <w:t xml:space="preserve">A empresa que se favorecer dos benefícios concedidos às microempresas ou empresas de pequeno porte, conforme previsto neste Edital, deverá, junto à sua documentação de habilitação, apresentar </w:t>
      </w:r>
      <w:r>
        <w:rPr>
          <w:rStyle w:val="InternetLink1"/>
          <w:rFonts w:cs="Arial" w:ascii="Verdana" w:hAnsi="Verdana"/>
          <w:b/>
          <w:bCs/>
          <w:iCs/>
          <w:color w:val="auto"/>
          <w:sz w:val="20"/>
          <w:szCs w:val="20"/>
          <w:highlight w:val="yellow"/>
        </w:rPr>
        <w:t>todas as certidões relativas a regularidade fiscal, mesmo que contenham alguma restrição, e ainda, a CERTIDÃO EXPEDIDA PELA JUNTA COMERCIAL DA REGIÃO SEDE DA EMPRESA,</w:t>
      </w:r>
      <w:r>
        <w:rPr>
          <w:rStyle w:val="InternetLink1"/>
          <w:rFonts w:cs="Arial" w:ascii="Verdana" w:hAnsi="Verdana"/>
          <w:iCs/>
          <w:color w:val="auto"/>
          <w:sz w:val="20"/>
          <w:szCs w:val="20"/>
          <w:highlight w:val="yellow"/>
        </w:rPr>
        <w:t xml:space="preserve"> demonstrando a situação de enquadramento, </w:t>
      </w:r>
      <w:r>
        <w:rPr>
          <w:rStyle w:val="InternetLink1"/>
          <w:rFonts w:cs="Arial" w:ascii="Verdana" w:hAnsi="Verdana"/>
          <w:b/>
          <w:bCs/>
          <w:iCs/>
          <w:color w:val="auto"/>
          <w:sz w:val="20"/>
          <w:szCs w:val="20"/>
          <w:highlight w:val="yellow"/>
        </w:rPr>
        <w:t>emitida n</w:t>
      </w:r>
      <w:r>
        <w:rPr>
          <w:rStyle w:val="t286pc"/>
          <w:rFonts w:ascii="Verdana" w:hAnsi="Verdana"/>
          <w:b/>
          <w:bCs/>
          <w:sz w:val="20"/>
          <w:szCs w:val="20"/>
          <w:highlight w:val="yellow"/>
          <w:shd w:fill="FFFFFF" w:val="clear"/>
        </w:rPr>
        <w:t>os</w:t>
      </w:r>
      <w:r>
        <w:rPr>
          <w:rStyle w:val="t286pc"/>
          <w:rFonts w:ascii="Verdana" w:hAnsi="Verdana"/>
          <w:sz w:val="20"/>
          <w:szCs w:val="20"/>
          <w:highlight w:val="yellow"/>
          <w:shd w:fill="FFFFFF" w:val="clear"/>
        </w:rPr>
        <w:t xml:space="preserve"> </w:t>
      </w:r>
      <w:r>
        <w:rPr>
          <w:rStyle w:val="t286pc"/>
          <w:rFonts w:ascii="Verdana" w:hAnsi="Verdana"/>
          <w:b/>
          <w:bCs/>
          <w:sz w:val="20"/>
          <w:szCs w:val="20"/>
          <w:highlight w:val="yellow"/>
          <w:shd w:fill="FFFFFF" w:val="clear"/>
        </w:rPr>
        <w:t>90 (noventa)</w:t>
      </w:r>
      <w:r>
        <w:rPr>
          <w:rStyle w:val="t286pc"/>
          <w:rFonts w:ascii="Verdana" w:hAnsi="Verdana"/>
          <w:sz w:val="20"/>
          <w:szCs w:val="20"/>
          <w:highlight w:val="yellow"/>
          <w:shd w:fill="FFFFFF" w:val="clear"/>
        </w:rPr>
        <w:t xml:space="preserve"> dias anteriores à data da sessão pública (abertura da licitação)</w:t>
      </w:r>
      <w:r>
        <w:rPr>
          <w:rStyle w:val="InternetLink1"/>
          <w:rFonts w:cs="Arial" w:ascii="Verdana" w:hAnsi="Verdana"/>
          <w:iCs/>
          <w:color w:val="auto"/>
          <w:sz w:val="20"/>
          <w:szCs w:val="20"/>
          <w:highlight w:val="yellow"/>
        </w:rPr>
        <w:t xml:space="preserve">, sob pena de </w:t>
      </w:r>
      <w:r>
        <w:rPr>
          <w:rStyle w:val="InternetLink1"/>
          <w:rFonts w:cs="Arial" w:ascii="Verdana" w:hAnsi="Verdana"/>
          <w:b/>
          <w:bCs/>
          <w:iCs/>
          <w:color w:val="auto"/>
          <w:sz w:val="20"/>
          <w:szCs w:val="20"/>
          <w:highlight w:val="green"/>
        </w:rPr>
        <w:t>PERDA DO DIREITO DE GOZO DOS REFERIDOS BENEFÍCIO</w:t>
      </w:r>
      <w:bookmarkEnd w:id="2"/>
      <w:r>
        <w:rPr>
          <w:rStyle w:val="InternetLink1"/>
          <w:rFonts w:cs="Arial" w:ascii="Verdana" w:hAnsi="Verdana"/>
          <w:b/>
          <w:bCs/>
          <w:iCs/>
          <w:color w:val="auto"/>
          <w:sz w:val="20"/>
          <w:szCs w:val="20"/>
          <w:highlight w:val="green"/>
        </w:rPr>
        <w:t xml:space="preserve">S E INABILITAÇÃO DA EMPRESA </w:t>
      </w:r>
      <w:r>
        <w:rPr>
          <w:rStyle w:val="InternetLink1"/>
          <w:rFonts w:cs="Arial" w:ascii="Verdana" w:hAnsi="Verdana"/>
          <w:b/>
          <w:bCs/>
          <w:iCs/>
          <w:color w:val="auto"/>
          <w:sz w:val="20"/>
          <w:szCs w:val="20"/>
          <w:highlight w:val="yellow"/>
        </w:rPr>
        <w:t>no certame, uma vez que, o processo licitatório é exclusivo para Microempresas ou Empresas de Pequeno Porte.</w:t>
      </w:r>
    </w:p>
    <w:p>
      <w:pPr>
        <w:pStyle w:val="Normal"/>
        <w:snapToGrid w:val="false"/>
        <w:spacing w:lineRule="auto" w:line="276" w:before="57" w:after="0"/>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20"/>
          <w:tab w:val="left" w:pos="1440" w:leader="none"/>
        </w:tabs>
        <w:snapToGrid w:val="false"/>
        <w:spacing w:lineRule="auto" w:line="276" w:before="57" w:after="0"/>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20"/>
          <w:tab w:val="left" w:pos="1440" w:leader="none"/>
        </w:tabs>
        <w:snapToGrid w:val="false"/>
        <w:spacing w:lineRule="auto" w:line="276" w:before="57" w:after="0"/>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20"/>
          <w:tab w:val="left" w:pos="1440" w:leader="none"/>
        </w:tabs>
        <w:snapToGrid w:val="false"/>
        <w:spacing w:lineRule="auto" w:line="276" w:before="57" w:after="0"/>
        <w:jc w:val="both"/>
        <w:rPr>
          <w:rFonts w:ascii="Verdana" w:hAnsi="Verdana"/>
          <w:sz w:val="20"/>
          <w:szCs w:val="20"/>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20"/>
          <w:tab w:val="left" w:pos="1440" w:leader="none"/>
        </w:tabs>
        <w:snapToGrid w:val="false"/>
        <w:spacing w:lineRule="auto" w:line="276" w:before="57" w:after="0"/>
        <w:jc w:val="both"/>
        <w:rPr>
          <w:rFonts w:ascii="Verdana" w:hAnsi="Verdana"/>
          <w:sz w:val="20"/>
          <w:szCs w:val="20"/>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20"/>
          <w:tab w:val="left" w:pos="1440" w:leader="none"/>
        </w:tabs>
        <w:snapToGrid w:val="false"/>
        <w:spacing w:lineRule="auto" w:line="276" w:before="57" w:after="0"/>
        <w:jc w:val="both"/>
        <w:rPr>
          <w:rFonts w:ascii="Verdana" w:hAnsi="Verdana"/>
          <w:sz w:val="20"/>
          <w:szCs w:val="20"/>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20"/>
          <w:tab w:val="left" w:pos="1440" w:leader="none"/>
        </w:tabs>
        <w:snapToGrid w:val="false"/>
        <w:spacing w:lineRule="auto" w:line="276" w:before="57" w:after="0"/>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20"/>
          <w:tab w:val="left" w:pos="1440" w:leader="none"/>
        </w:tabs>
        <w:snapToGrid w:val="false"/>
        <w:spacing w:lineRule="auto" w:line="276" w:before="57" w:after="0"/>
        <w:jc w:val="both"/>
        <w:rPr>
          <w:rFonts w:ascii="Verdana" w:hAnsi="Verdana"/>
          <w:sz w:val="20"/>
          <w:szCs w:val="20"/>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20"/>
          <w:tab w:val="left" w:pos="1440" w:leader="none"/>
        </w:tabs>
        <w:snapToGrid w:val="false"/>
        <w:spacing w:lineRule="auto" w:line="276" w:before="57" w:after="0"/>
        <w:jc w:val="both"/>
        <w:rPr>
          <w:rFonts w:ascii="Verdana" w:hAnsi="Verdana"/>
          <w:sz w:val="20"/>
          <w:szCs w:val="20"/>
        </w:rPr>
      </w:pPr>
      <w:r>
        <w:rPr>
          <w:rFonts w:cs="Arial" w:ascii="Verdana" w:hAnsi="Verdana"/>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57" w:after="0"/>
        <w:jc w:val="both"/>
        <w:rPr>
          <w:rFonts w:ascii="Verdana" w:hAnsi="Verdana"/>
          <w:sz w:val="20"/>
          <w:szCs w:val="20"/>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spacing w:lineRule="auto" w:line="276" w:before="57" w:after="0"/>
        <w:jc w:val="both"/>
        <w:rPr>
          <w:rFonts w:ascii="Verdana" w:hAnsi="Verdana"/>
          <w:sz w:val="20"/>
          <w:szCs w:val="20"/>
        </w:rPr>
      </w:pPr>
      <w:r>
        <w:rPr>
          <w:rFonts w:cs="Arial" w:ascii="Verdana" w:hAnsi="Verdana"/>
          <w:bCs/>
          <w:color w:val="000000"/>
          <w:sz w:val="20"/>
          <w:szCs w:val="20"/>
        </w:rPr>
        <w:t>4.3.10 Pessoas jurídicas reunidas em consórcio;</w:t>
      </w:r>
    </w:p>
    <w:p>
      <w:pPr>
        <w:pStyle w:val="Normal"/>
        <w:snapToGrid w:val="false"/>
        <w:spacing w:lineRule="auto" w:line="276" w:before="57" w:after="0"/>
        <w:jc w:val="both"/>
        <w:rPr>
          <w:rFonts w:ascii="Verdana" w:hAnsi="Verdana"/>
          <w:sz w:val="20"/>
          <w:szCs w:val="20"/>
        </w:rPr>
      </w:pPr>
      <w:r>
        <w:rPr>
          <w:rFonts w:cs="Arial" w:ascii="Verdana" w:hAnsi="Verdana"/>
          <w:bCs/>
          <w:color w:val="000000"/>
          <w:sz w:val="20"/>
          <w:szCs w:val="20"/>
        </w:rPr>
        <w:t>4.3.11 Organizações da Sociedade Civil interesse Público – OSCIP, atuando nessa condição;</w:t>
      </w:r>
    </w:p>
    <w:p>
      <w:pPr>
        <w:pStyle w:val="Normal"/>
        <w:snapToGrid w:val="false"/>
        <w:spacing w:lineRule="auto" w:line="276" w:before="57" w:after="0"/>
        <w:jc w:val="both"/>
        <w:rPr/>
      </w:pPr>
      <w:r>
        <w:rPr>
          <w:rFonts w:cs="Arial" w:ascii="Verdana" w:hAnsi="Verdana"/>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before="120" w:after="0"/>
        <w:ind w:hanging="0" w:left="0"/>
        <w:rPr>
          <w:rFonts w:ascii="Verdana" w:hAnsi="Verdana"/>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before="120" w:after="0"/>
        <w:ind w:hanging="0" w:left="0"/>
        <w:rPr>
          <w:rFonts w:ascii="Verdana" w:hAnsi="Verdana"/>
        </w:rPr>
      </w:pPr>
      <w:bookmarkStart w:id="8" w:name="art14§2"/>
      <w:bookmarkEnd w:id="8"/>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before="120" w:after="0"/>
        <w:ind w:hanging="0" w:left="0"/>
        <w:rPr>
          <w:rFonts w:ascii="Verdana" w:hAnsi="Verdana"/>
        </w:rPr>
      </w:pPr>
      <w:bookmarkStart w:id="9" w:name="art14§3"/>
      <w:bookmarkEnd w:id="9"/>
      <w:r>
        <w:rPr>
          <w:rFonts w:eastAsia="Segoe UI" w:cs="Arial" w:ascii="Verdana" w:hAnsi="Verdana"/>
          <w:bCs/>
          <w:color w:val="000000"/>
        </w:rPr>
        <w:t>4.6 Equiparam-se aos autores do projeto as empresas integrantes do mesmo grupo econômico.</w:t>
      </w:r>
    </w:p>
    <w:p>
      <w:pPr>
        <w:pStyle w:val="Nivel2"/>
        <w:numPr>
          <w:ilvl w:val="0"/>
          <w:numId w:val="0"/>
        </w:numPr>
        <w:spacing w:before="120" w:after="0"/>
        <w:ind w:hanging="0" w:left="0"/>
        <w:rPr>
          <w:rFonts w:ascii="Verdana" w:hAnsi="Verdana"/>
        </w:rPr>
      </w:pPr>
      <w:bookmarkStart w:id="10" w:name="art14§4"/>
      <w:bookmarkEnd w:id="10"/>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before="120" w:after="0"/>
        <w:ind w:hanging="0" w:left="0"/>
        <w:rPr/>
      </w:pPr>
      <w:bookmarkStart w:id="11" w:name="art14§5"/>
      <w:bookmarkEnd w:id="11"/>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before="120" w:after="0"/>
        <w:ind w:hanging="0" w:left="0"/>
        <w:rPr>
          <w:rFonts w:ascii="Verdana" w:hAnsi="Verdana"/>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ormal"/>
        <w:spacing w:lineRule="auto" w:line="276"/>
        <w:rPr>
          <w:rFonts w:ascii="Verdana" w:hAnsi="Verdana"/>
          <w:sz w:val="20"/>
          <w:szCs w:val="20"/>
        </w:rPr>
      </w:pPr>
      <w:r>
        <w:rPr>
          <w:rFonts w:ascii="Verdana" w:hAnsi="Verdana"/>
          <w:sz w:val="20"/>
          <w:szCs w:val="20"/>
        </w:rPr>
      </w:r>
    </w:p>
    <w:p>
      <w:pPr>
        <w:pStyle w:val="Nivel01"/>
        <w:numPr>
          <w:ilvl w:val="0"/>
          <w:numId w:val="2"/>
        </w:numPr>
        <w:spacing w:lineRule="auto" w:line="276" w:before="57" w:after="0"/>
        <w:ind w:hanging="0" w:left="0"/>
        <w:rPr>
          <w:rFonts w:ascii="Verdana" w:hAnsi="Verdana"/>
        </w:rPr>
      </w:pPr>
      <w:r>
        <w:rPr>
          <w:rFonts w:cs="Arial" w:ascii="Verdana" w:hAnsi="Verdana"/>
        </w:rPr>
        <w:t>DA APRESENTAÇÃO DA PROPOSTA E DOS DOCUMENTOS DE HABILITAÇÃO</w:t>
      </w:r>
    </w:p>
    <w:p>
      <w:pPr>
        <w:pStyle w:val="Normal"/>
        <w:numPr>
          <w:ilvl w:val="1"/>
          <w:numId w:val="14"/>
        </w:numPr>
        <w:tabs>
          <w:tab w:val="clear" w:pos="720"/>
          <w:tab w:val="left" w:pos="450" w:leader="none"/>
          <w:tab w:val="left" w:pos="1450" w:leader="none"/>
        </w:tabs>
        <w:spacing w:lineRule="auto" w:line="276" w:before="57" w:after="0"/>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5"/>
        </w:numPr>
        <w:tabs>
          <w:tab w:val="clear" w:pos="720"/>
          <w:tab w:val="left" w:pos="450" w:leader="none"/>
        </w:tabs>
        <w:spacing w:lineRule="auto" w:line="276" w:before="57" w:after="0"/>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6"/>
        </w:numPr>
        <w:tabs>
          <w:tab w:val="clear" w:pos="720"/>
          <w:tab w:val="left" w:pos="450" w:leader="none"/>
        </w:tabs>
        <w:spacing w:lineRule="auto" w:line="276" w:before="57" w:after="0"/>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7"/>
        </w:numPr>
        <w:tabs>
          <w:tab w:val="clear" w:pos="720"/>
          <w:tab w:val="left" w:pos="450" w:leader="none"/>
        </w:tabs>
        <w:spacing w:lineRule="auto" w:line="276" w:before="57" w:after="0"/>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8"/>
        </w:numPr>
        <w:tabs>
          <w:tab w:val="clear" w:pos="720"/>
          <w:tab w:val="left" w:pos="450" w:leader="none"/>
        </w:tabs>
        <w:spacing w:lineRule="auto" w:line="276" w:before="57" w:after="0"/>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9"/>
        </w:numPr>
        <w:tabs>
          <w:tab w:val="clear" w:pos="720"/>
          <w:tab w:val="left" w:pos="450" w:leader="none"/>
        </w:tabs>
        <w:spacing w:lineRule="auto" w:line="276" w:before="57" w:after="0"/>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0"/>
        </w:numPr>
        <w:tabs>
          <w:tab w:val="clear" w:pos="720"/>
          <w:tab w:val="left" w:pos="450" w:leader="none"/>
        </w:tabs>
        <w:spacing w:lineRule="auto" w:line="276" w:before="57" w:after="0"/>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1"/>
        </w:numPr>
        <w:tabs>
          <w:tab w:val="clear" w:pos="720"/>
          <w:tab w:val="left" w:pos="450" w:leader="none"/>
        </w:tabs>
        <w:spacing w:lineRule="auto" w:line="276" w:before="57" w:after="0"/>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20"/>
          <w:tab w:val="left" w:pos="450" w:leader="none"/>
        </w:tabs>
        <w:spacing w:lineRule="auto" w:line="276" w:before="57" w:after="0"/>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0"/>
        <w:ind w:hanging="0" w:left="0"/>
        <w:rPr>
          <w:rFonts w:ascii="Verdana" w:hAnsi="Verdana"/>
        </w:rPr>
      </w:pPr>
      <w:r>
        <w:rPr>
          <w:rFonts w:cs="Arial" w:ascii="Verdana" w:hAnsi="Verdana"/>
        </w:rPr>
        <w:t>DO PREENCHIMENTO DA PROPOSTA</w:t>
      </w:r>
    </w:p>
    <w:p>
      <w:pPr>
        <w:pStyle w:val="Normal"/>
        <w:numPr>
          <w:ilvl w:val="1"/>
          <w:numId w:val="2"/>
        </w:numPr>
        <w:tabs>
          <w:tab w:val="clear" w:pos="720"/>
          <w:tab w:val="left" w:pos="450" w:leader="none"/>
        </w:tabs>
        <w:spacing w:lineRule="auto" w:line="276" w:before="57" w:after="0"/>
        <w:ind w:hanging="0" w:left="0"/>
        <w:jc w:val="both"/>
        <w:rPr>
          <w:rFonts w:ascii="Verdana" w:hAnsi="Verdana"/>
          <w:sz w:val="20"/>
          <w:szCs w:val="20"/>
        </w:rPr>
      </w:pPr>
      <w:r>
        <w:rPr>
          <w:rFonts w:cs="Arial" w:ascii="Verdana" w:hAnsi="Verdana"/>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Normal"/>
        <w:numPr>
          <w:ilvl w:val="2"/>
          <w:numId w:val="2"/>
        </w:numPr>
        <w:tabs>
          <w:tab w:val="clear" w:pos="720"/>
          <w:tab w:val="left" w:pos="617" w:leader="none"/>
          <w:tab w:val="left" w:pos="1083" w:leader="none"/>
        </w:tabs>
        <w:snapToGrid w:val="false"/>
        <w:spacing w:lineRule="auto" w:line="276" w:before="57" w:after="0"/>
        <w:ind w:hanging="0" w:left="0"/>
        <w:jc w:val="both"/>
        <w:rPr>
          <w:rFonts w:ascii="Verdana" w:hAnsi="Verdana"/>
          <w:sz w:val="20"/>
          <w:szCs w:val="20"/>
        </w:rPr>
      </w:pPr>
      <w:r>
        <w:rPr>
          <w:rFonts w:cs="Arial" w:ascii="Verdana" w:hAnsi="Verdana"/>
          <w:iCs/>
          <w:color w:val="000000"/>
          <w:sz w:val="20"/>
          <w:szCs w:val="20"/>
        </w:rPr>
        <w:t>Valor unitário e total do item;</w:t>
      </w:r>
    </w:p>
    <w:p>
      <w:pPr>
        <w:pStyle w:val="Normal"/>
        <w:tabs>
          <w:tab w:val="clear" w:pos="720"/>
          <w:tab w:val="left" w:pos="617" w:leader="none"/>
          <w:tab w:val="left" w:pos="1083" w:leader="none"/>
        </w:tabs>
        <w:snapToGrid w:val="false"/>
        <w:spacing w:lineRule="auto" w:line="276" w:before="57" w:after="0"/>
        <w:jc w:val="both"/>
        <w:rPr>
          <w:rFonts w:ascii="Verdana" w:hAnsi="Verdana"/>
          <w:sz w:val="20"/>
          <w:szCs w:val="20"/>
        </w:rPr>
      </w:pPr>
      <w:r>
        <w:rPr>
          <w:rFonts w:cs="Arial" w:ascii="Verdana" w:hAnsi="Verdana"/>
          <w:iCs/>
          <w:color w:val="000000"/>
          <w:sz w:val="20"/>
          <w:szCs w:val="20"/>
        </w:rPr>
        <w:t xml:space="preserve">6.1.1.1 Serão admitidos no preço proposto a utilização de até </w:t>
      </w:r>
      <w:r>
        <w:rPr>
          <w:rFonts w:cs="Arial" w:ascii="Verdana" w:hAnsi="Verdana"/>
          <w:b/>
          <w:bCs/>
          <w:iCs/>
          <w:color w:val="000000"/>
          <w:sz w:val="20"/>
          <w:szCs w:val="20"/>
        </w:rPr>
        <w:t>02 (duas) casa decimais após a vírgula,</w:t>
      </w:r>
      <w:r>
        <w:rPr>
          <w:rFonts w:cs="Arial" w:ascii="Verdana" w:hAnsi="Verdana"/>
          <w:iCs/>
          <w:color w:val="000000"/>
          <w:sz w:val="20"/>
          <w:szCs w:val="20"/>
        </w:rPr>
        <w:t xml:space="preserve"> expressos em moeda nacional. </w:t>
      </w:r>
    </w:p>
    <w:p>
      <w:pPr>
        <w:pStyle w:val="Normal"/>
        <w:tabs>
          <w:tab w:val="clear" w:pos="720"/>
          <w:tab w:val="left" w:pos="617" w:leader="none"/>
          <w:tab w:val="left" w:pos="1440" w:leader="none"/>
        </w:tabs>
        <w:snapToGrid w:val="false"/>
        <w:spacing w:lineRule="auto" w:line="276" w:before="57" w:after="0"/>
        <w:jc w:val="both"/>
        <w:rPr>
          <w:rFonts w:ascii="Verdana" w:hAnsi="Verdana"/>
          <w:sz w:val="20"/>
          <w:szCs w:val="20"/>
        </w:rPr>
      </w:pPr>
      <w:r>
        <w:rPr>
          <w:rFonts w:cs="Arial" w:ascii="Verdana" w:hAnsi="Verdana"/>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pPr>
        <w:pStyle w:val="Normal"/>
        <w:tabs>
          <w:tab w:val="clear" w:pos="720"/>
          <w:tab w:val="left" w:pos="617" w:leader="none"/>
          <w:tab w:val="left" w:pos="1083" w:leader="none"/>
        </w:tabs>
        <w:snapToGrid w:val="false"/>
        <w:spacing w:lineRule="auto" w:line="276" w:before="57" w:after="0"/>
        <w:jc w:val="both"/>
        <w:rPr>
          <w:rFonts w:ascii="Verdana" w:hAnsi="Verdana"/>
          <w:sz w:val="20"/>
          <w:szCs w:val="20"/>
        </w:rPr>
      </w:pPr>
      <w:r>
        <w:rPr>
          <w:rFonts w:cs="Arial" w:ascii="Verdana" w:hAnsi="Verdana"/>
          <w:bCs/>
          <w:iCs/>
          <w:color w:val="000000"/>
          <w:sz w:val="20"/>
          <w:szCs w:val="20"/>
        </w:rPr>
        <w:t>6.2. Todas as especificações do objeto contidas na proposta vinculam a Contratada;</w:t>
      </w:r>
    </w:p>
    <w:p>
      <w:pPr>
        <w:pStyle w:val="Normal"/>
        <w:tabs>
          <w:tab w:val="clear" w:pos="720"/>
          <w:tab w:val="left" w:pos="617" w:leader="none"/>
          <w:tab w:val="left" w:pos="1083" w:leader="none"/>
        </w:tabs>
        <w:snapToGrid w:val="false"/>
        <w:spacing w:lineRule="auto" w:line="276" w:before="57" w:after="0"/>
        <w:jc w:val="both"/>
        <w:rPr>
          <w:rFonts w:ascii="Verdana" w:hAnsi="Verdana"/>
          <w:sz w:val="20"/>
          <w:szCs w:val="20"/>
        </w:rPr>
      </w:pPr>
      <w:r>
        <w:rPr>
          <w:rFonts w:cs="Arial" w:ascii="Verdana" w:hAnsi="Verdana"/>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pPr>
        <w:pStyle w:val="Normal"/>
        <w:tabs>
          <w:tab w:val="clear" w:pos="720"/>
          <w:tab w:val="left" w:pos="617" w:leader="none"/>
          <w:tab w:val="left" w:pos="733" w:leader="none"/>
          <w:tab w:val="left" w:pos="1467" w:leader="none"/>
        </w:tabs>
        <w:snapToGrid w:val="false"/>
        <w:spacing w:lineRule="auto" w:line="276" w:before="57" w:after="0"/>
        <w:jc w:val="both"/>
        <w:rPr>
          <w:rFonts w:ascii="Verdana" w:hAnsi="Verdana"/>
          <w:sz w:val="20"/>
          <w:szCs w:val="20"/>
        </w:rPr>
      </w:pPr>
      <w:r>
        <w:rPr>
          <w:rFonts w:cs="Arial" w:ascii="Verdana" w:hAnsi="Verdana"/>
          <w:bCs/>
          <w:iCs/>
          <w:color w:val="000000"/>
          <w:sz w:val="20"/>
          <w:szCs w:val="20"/>
        </w:rPr>
        <w:t>6.4. Na presente licitação, a Microempresa e a Empresa de Pequeno Porte poderão se beneficiar do regime de tributação pelo Simples Nacional;</w:t>
      </w:r>
    </w:p>
    <w:p>
      <w:pPr>
        <w:pStyle w:val="Normal"/>
        <w:tabs>
          <w:tab w:val="clear" w:pos="720"/>
          <w:tab w:val="left" w:pos="617" w:leader="none"/>
          <w:tab w:val="left" w:pos="733" w:leader="none"/>
          <w:tab w:val="left" w:pos="1467" w:leader="none"/>
        </w:tabs>
        <w:snapToGrid w:val="false"/>
        <w:spacing w:lineRule="auto" w:line="276" w:before="57" w:after="0"/>
        <w:jc w:val="both"/>
        <w:rPr>
          <w:rFonts w:ascii="Verdana" w:hAnsi="Verdana"/>
          <w:sz w:val="20"/>
          <w:szCs w:val="20"/>
        </w:rPr>
      </w:pPr>
      <w:r>
        <w:rPr>
          <w:rFonts w:cs="Arial" w:ascii="Verdana" w:hAnsi="Verdana"/>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tabs>
          <w:tab w:val="clear" w:pos="720"/>
          <w:tab w:val="left" w:pos="617" w:leader="none"/>
          <w:tab w:val="left" w:pos="733" w:leader="none"/>
          <w:tab w:val="left" w:pos="1467" w:leader="none"/>
        </w:tabs>
        <w:snapToGrid w:val="false"/>
        <w:spacing w:lineRule="auto" w:line="276" w:before="57" w:after="0"/>
        <w:jc w:val="both"/>
        <w:rPr>
          <w:rFonts w:ascii="Verdana" w:hAnsi="Verdana"/>
          <w:sz w:val="20"/>
          <w:szCs w:val="20"/>
        </w:rPr>
      </w:pPr>
      <w:r>
        <w:rPr>
          <w:rFonts w:cs="Arial" w:ascii="Verdana" w:hAnsi="Verdana"/>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tabs>
          <w:tab w:val="clear" w:pos="720"/>
          <w:tab w:val="left" w:pos="617" w:leader="none"/>
          <w:tab w:val="left" w:pos="733" w:leader="none"/>
          <w:tab w:val="left" w:pos="850" w:leader="none"/>
        </w:tabs>
        <w:snapToGrid w:val="false"/>
        <w:spacing w:lineRule="auto" w:line="276" w:before="57" w:after="0"/>
        <w:jc w:val="both"/>
        <w:rPr>
          <w:rFonts w:ascii="Verdana" w:hAnsi="Verdana"/>
          <w:sz w:val="20"/>
          <w:szCs w:val="20"/>
        </w:rPr>
      </w:pPr>
      <w:r>
        <w:rPr>
          <w:rFonts w:cs="Arial" w:ascii="Verdana" w:hAnsi="Verdana"/>
          <w:bCs/>
          <w:iCs/>
          <w:color w:val="000000"/>
          <w:sz w:val="20"/>
          <w:szCs w:val="20"/>
        </w:rPr>
        <w:t>6.7. O prazo de validade da proposta não será inferior a 60 (sessenta) dias, a contar da data de sua apresentação;</w:t>
      </w:r>
    </w:p>
    <w:p>
      <w:pPr>
        <w:pStyle w:val="Normal"/>
        <w:tabs>
          <w:tab w:val="clear" w:pos="720"/>
          <w:tab w:val="left" w:pos="617" w:leader="none"/>
          <w:tab w:val="left" w:pos="733" w:leader="none"/>
          <w:tab w:val="left" w:pos="850" w:leader="none"/>
        </w:tabs>
        <w:snapToGrid w:val="false"/>
        <w:spacing w:lineRule="auto" w:line="276" w:before="57" w:after="0"/>
        <w:jc w:val="both"/>
        <w:rPr>
          <w:rFonts w:ascii="Verdana" w:hAnsi="Verdana"/>
          <w:sz w:val="20"/>
          <w:szCs w:val="20"/>
        </w:rPr>
      </w:pPr>
      <w:r>
        <w:rPr>
          <w:rFonts w:cs="Arial" w:ascii="Verdana" w:hAnsi="Verdana"/>
          <w:bCs/>
          <w:iCs/>
          <w:color w:val="000000"/>
          <w:sz w:val="20"/>
          <w:szCs w:val="20"/>
        </w:rPr>
        <w:t>6.8.</w:t>
      </w:r>
      <w:r>
        <w:rPr>
          <w:rFonts w:cs="Arial" w:ascii="Verdana" w:hAnsi="Verdana"/>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vel2-Red"/>
        <w:numPr>
          <w:ilvl w:val="0"/>
          <w:numId w:val="0"/>
        </w:numPr>
        <w:spacing w:before="120" w:after="0"/>
        <w:ind w:hanging="0" w:left="0"/>
        <w:rPr>
          <w:rFonts w:ascii="Verdana" w:hAnsi="Verdana" w:eastAsia="Segoe UI" w:cs="Arial"/>
          <w:color w:val="000000"/>
        </w:rPr>
      </w:pPr>
      <w:r>
        <w:rPr>
          <w:rFonts w:eastAsia="Segoe UI" w:cs="Arial" w:ascii="Verdana" w:hAnsi="Verdana"/>
          <w:color w:val="000000"/>
        </w:rPr>
      </w:r>
    </w:p>
    <w:p>
      <w:pPr>
        <w:pStyle w:val="Nivel01"/>
        <w:numPr>
          <w:ilvl w:val="0"/>
          <w:numId w:val="2"/>
        </w:numPr>
        <w:spacing w:lineRule="auto" w:line="276" w:before="57" w:after="0"/>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20"/>
          <w:tab w:val="left" w:pos="517" w:leader="none"/>
        </w:tabs>
        <w:spacing w:lineRule="auto" w:line="276" w:before="57" w:after="0"/>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before="120" w:after="0"/>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20"/>
          <w:tab w:val="left" w:pos="517" w:leader="none"/>
        </w:tabs>
        <w:spacing w:lineRule="auto" w:line="276" w:before="57" w:after="0"/>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20"/>
          <w:tab w:val="left" w:pos="683" w:leader="none"/>
        </w:tabs>
        <w:snapToGrid w:val="false"/>
        <w:spacing w:lineRule="auto" w:line="276" w:before="57" w:after="0"/>
        <w:ind w:hanging="0" w:left="0"/>
        <w:jc w:val="both"/>
        <w:rPr>
          <w:rFonts w:ascii="Verdana" w:hAnsi="Verdana"/>
          <w:sz w:val="20"/>
          <w:szCs w:val="20"/>
        </w:rPr>
      </w:pPr>
      <w:r>
        <w:rPr>
          <w:rFonts w:cs="Arial" w:ascii="Verdana" w:hAnsi="Verdana"/>
          <w:color w:val="000000"/>
          <w:sz w:val="20"/>
          <w:szCs w:val="20"/>
          <w:lang w:eastAsia="en-US"/>
        </w:rPr>
        <w:t>Também será desclassificada a proposta que identifique o licitante.</w:t>
      </w:r>
    </w:p>
    <w:p>
      <w:pPr>
        <w:pStyle w:val="Normal"/>
        <w:numPr>
          <w:ilvl w:val="2"/>
          <w:numId w:val="2"/>
        </w:numPr>
        <w:tabs>
          <w:tab w:val="clear" w:pos="720"/>
          <w:tab w:val="left" w:pos="683" w:leader="none"/>
        </w:tabs>
        <w:snapToGrid w:val="false"/>
        <w:spacing w:lineRule="auto" w:line="276" w:before="57" w:after="0"/>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20"/>
          <w:tab w:val="left" w:pos="683" w:leader="none"/>
        </w:tabs>
        <w:snapToGrid w:val="false"/>
        <w:spacing w:lineRule="auto" w:line="276" w:before="57" w:after="0"/>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lineRule="auto" w:line="276" w:before="57" w:after="0"/>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20"/>
          <w:tab w:val="left" w:pos="683" w:leader="none"/>
        </w:tabs>
        <w:snapToGrid w:val="false"/>
        <w:spacing w:lineRule="auto" w:line="276" w:before="57" w:after="0"/>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20"/>
          <w:tab w:val="left" w:pos="683" w:leader="none"/>
        </w:tabs>
        <w:snapToGrid w:val="false"/>
        <w:spacing w:lineRule="auto" w:line="276" w:before="57" w:after="0"/>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lineRule="auto" w:line="276" w:before="57" w:after="0"/>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 do item.</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57" w:after="0"/>
        <w:ind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57" w:after="0"/>
        <w:ind w:left="0"/>
        <w:contextualSpacing w:val="false"/>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rPr>
        <w:t xml:space="preserve">7.9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rPr>
        <w:t xml:space="preserve">7.10 </w:t>
      </w:r>
      <w:r>
        <w:rPr>
          <w:rFonts w:cs="Arial" w:ascii="Verdana" w:hAnsi="Verdana"/>
          <w:sz w:val="20"/>
          <w:szCs w:val="20"/>
        </w:rPr>
        <w:t>A etapa de lances na sessão pública durará 10 (dez) minutos, e após isso, será prorrogada automaticamente pelo sistema eletrônico quando houver lance ofertado nos últimos 2 (dois) minutos do período de duração da sessão pública.</w:t>
      </w:r>
    </w:p>
    <w:p>
      <w:pPr>
        <w:pStyle w:val="ListParagraph"/>
        <w:spacing w:lineRule="auto" w:line="276" w:before="57" w:after="0"/>
        <w:ind w:left="0"/>
        <w:contextualSpacing w:val="false"/>
        <w:jc w:val="both"/>
        <w:rPr>
          <w:rFonts w:ascii="Verdana" w:hAnsi="Verdana"/>
          <w:sz w:val="20"/>
          <w:szCs w:val="20"/>
        </w:rPr>
      </w:pPr>
      <w:r>
        <w:rPr>
          <w:rFonts w:ascii="Verdana" w:hAnsi="Verdana"/>
          <w:sz w:val="20"/>
          <w:szCs w:val="20"/>
        </w:rPr>
        <w:t>7.11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ListParagraph"/>
        <w:tabs>
          <w:tab w:val="clear" w:pos="720"/>
          <w:tab w:val="left" w:pos="2850" w:leader="none"/>
        </w:tabs>
        <w:spacing w:lineRule="auto" w:line="276" w:before="57" w:after="0"/>
        <w:ind w:left="0"/>
        <w:contextualSpacing w:val="false"/>
        <w:jc w:val="both"/>
        <w:rPr>
          <w:rFonts w:ascii="Verdana" w:hAnsi="Verdana"/>
          <w:sz w:val="20"/>
          <w:szCs w:val="20"/>
        </w:rPr>
      </w:pPr>
      <w:r>
        <w:rPr>
          <w:rFonts w:cs="Arial" w:ascii="Verdana" w:hAnsi="Verdana"/>
          <w:color w:val="000000"/>
          <w:sz w:val="20"/>
          <w:szCs w:val="20"/>
        </w:rPr>
        <w:t xml:space="preserve">7.12. </w:t>
      </w:r>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p>
    <w:p>
      <w:pPr>
        <w:pStyle w:val="Default"/>
        <w:spacing w:lineRule="auto" w:line="276"/>
        <w:jc w:val="both"/>
        <w:rPr>
          <w:rFonts w:ascii="Verdana" w:hAnsi="Verdana"/>
          <w:sz w:val="20"/>
          <w:szCs w:val="20"/>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76"/>
        <w:jc w:val="both"/>
        <w:rPr>
          <w:rFonts w:ascii="Verdana" w:hAnsi="Verdana"/>
          <w:sz w:val="20"/>
          <w:szCs w:val="20"/>
        </w:rPr>
      </w:pPr>
      <w:r>
        <w:rPr>
          <w:rFonts w:ascii="Verdana" w:hAnsi="Verdana"/>
          <w:sz w:val="20"/>
          <w:szCs w:val="20"/>
        </w:rPr>
        <w:t>7.14 Após o reinício previsto no item supra, os licitantes serão convocados para apresentar lances intermediários.</w:t>
      </w:r>
    </w:p>
    <w:p>
      <w:pPr>
        <w:pStyle w:val="Normal"/>
        <w:spacing w:lineRule="auto" w:line="276" w:before="57" w:after="0"/>
        <w:jc w:val="both"/>
        <w:rPr>
          <w:rFonts w:ascii="Verdana" w:hAnsi="Verdana"/>
          <w:sz w:val="20"/>
          <w:szCs w:val="20"/>
        </w:rPr>
      </w:pPr>
      <w:r>
        <w:rPr>
          <w:rFonts w:ascii="Verdana" w:hAnsi="Verdana"/>
          <w:sz w:val="20"/>
          <w:szCs w:val="20"/>
        </w:rPr>
        <w:t>7.15. Após o término dos prazos estabelecidos nos itens anteriores, o sistema ordenará os lances segundo a ordem crescente de valores.</w:t>
      </w:r>
    </w:p>
    <w:p>
      <w:pPr>
        <w:pStyle w:val="Normal"/>
        <w:spacing w:lineRule="auto" w:line="276" w:before="57" w:after="0"/>
        <w:jc w:val="both"/>
        <w:rPr>
          <w:rFonts w:ascii="Verdana" w:hAnsi="Verdana"/>
          <w:sz w:val="20"/>
          <w:szCs w:val="20"/>
        </w:rPr>
      </w:pPr>
      <w:r>
        <w:rPr>
          <w:rFonts w:cs="Arial" w:ascii="Verdana" w:hAnsi="Verdana"/>
          <w:color w:val="000000"/>
          <w:sz w:val="20"/>
          <w:szCs w:val="20"/>
        </w:rPr>
        <w:t>7.16. Não serão aceitos dois ou mais lances de mesmo valor, prevalecendo aquele que for recebido e registrado em primeiro lugar.</w:t>
      </w:r>
    </w:p>
    <w:p>
      <w:pPr>
        <w:pStyle w:val="Normal"/>
        <w:spacing w:lineRule="auto" w:line="276" w:before="57" w:after="0"/>
        <w:jc w:val="both"/>
        <w:rPr>
          <w:rFonts w:ascii="Verdana" w:hAnsi="Verdana"/>
          <w:sz w:val="20"/>
          <w:szCs w:val="20"/>
        </w:rPr>
      </w:pPr>
      <w:r>
        <w:rPr>
          <w:rFonts w:cs="Arial" w:ascii="Verdana" w:hAnsi="Verdana"/>
          <w:color w:val="000000"/>
          <w:sz w:val="20"/>
          <w:szCs w:val="20"/>
        </w:rPr>
        <w:t xml:space="preserve">7.17. Durante o transcurso da sessão pública, os licitantes serão informados, em tempo real, do valor do menor lance registrado, vedada a identificação do licitante. </w:t>
      </w:r>
    </w:p>
    <w:p>
      <w:pPr>
        <w:pStyle w:val="Normal"/>
        <w:spacing w:lineRule="auto" w:line="276" w:before="57" w:after="0"/>
        <w:jc w:val="both"/>
        <w:rPr>
          <w:rFonts w:ascii="Verdana" w:hAnsi="Verdana"/>
          <w:sz w:val="20"/>
          <w:szCs w:val="20"/>
        </w:rPr>
      </w:pPr>
      <w:r>
        <w:rPr>
          <w:rFonts w:cs="Arial" w:ascii="Verdana" w:hAnsi="Verdana"/>
          <w:color w:val="000000"/>
          <w:sz w:val="20"/>
          <w:szCs w:val="20"/>
        </w:rPr>
        <w:t xml:space="preserve">7.18 No caso de desconexão com o Pregoeiro, no decorrer da etapa competitiva do Pregão, o sistema eletrônico poderá permanecer acessível aos licitantes para a recepção dos lances. </w:t>
      </w:r>
    </w:p>
    <w:p>
      <w:pPr>
        <w:pStyle w:val="Normal"/>
        <w:spacing w:lineRule="auto" w:line="276" w:before="57" w:after="0"/>
        <w:jc w:val="both"/>
        <w:rPr>
          <w:rFonts w:ascii="Verdana" w:hAnsi="Verdana"/>
          <w:sz w:val="20"/>
          <w:szCs w:val="20"/>
        </w:rPr>
      </w:pPr>
      <w:r>
        <w:rPr>
          <w:rFonts w:cs="Arial" w:ascii="Verdana" w:hAnsi="Verdana"/>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76" w:before="57" w:after="0"/>
        <w:jc w:val="both"/>
        <w:rPr>
          <w:rFonts w:ascii="Verdana" w:hAnsi="Verdana"/>
          <w:sz w:val="20"/>
          <w:szCs w:val="20"/>
        </w:rPr>
      </w:pPr>
      <w:r>
        <w:rPr>
          <w:rFonts w:cs="Arial" w:ascii="Verdana" w:hAnsi="Verdana"/>
          <w:color w:val="000000"/>
          <w:sz w:val="20"/>
          <w:szCs w:val="20"/>
        </w:rPr>
        <w:t>7.20 O Critério de julgamento adotado será o de menor preço, conforme definido neste Edital e seus anexos.</w:t>
      </w:r>
    </w:p>
    <w:p>
      <w:pPr>
        <w:pStyle w:val="Normal"/>
        <w:spacing w:lineRule="auto" w:line="276" w:before="57" w:after="0"/>
        <w:jc w:val="both"/>
        <w:rPr>
          <w:rFonts w:ascii="Verdana" w:hAnsi="Verdana"/>
          <w:sz w:val="20"/>
          <w:szCs w:val="20"/>
        </w:rPr>
      </w:pPr>
      <w:r>
        <w:rPr>
          <w:rFonts w:cs="Arial" w:ascii="Verdana" w:hAnsi="Verdana"/>
          <w:color w:val="000000"/>
          <w:sz w:val="20"/>
          <w:szCs w:val="20"/>
        </w:rPr>
        <w:t>7.21 Caso o licitante não apresente lances, concorrerá com o valor de sua proposta.</w:t>
      </w:r>
    </w:p>
    <w:p>
      <w:pPr>
        <w:pStyle w:val="Normal"/>
        <w:spacing w:lineRule="auto" w:line="276" w:before="57" w:after="0"/>
        <w:jc w:val="both"/>
        <w:rPr>
          <w:rFonts w:ascii="Verdana" w:hAnsi="Verdana"/>
          <w:sz w:val="20"/>
          <w:szCs w:val="20"/>
        </w:rPr>
      </w:pPr>
      <w:r>
        <w:rPr>
          <w:rFonts w:cs="Arial" w:ascii="Verdana" w:hAnsi="Verdana"/>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57" w:after="0"/>
        <w:jc w:val="both"/>
        <w:rPr>
          <w:rFonts w:ascii="Verdana" w:hAnsi="Verdana"/>
          <w:sz w:val="20"/>
          <w:szCs w:val="20"/>
        </w:rPr>
      </w:pPr>
      <w:r>
        <w:rPr>
          <w:rFonts w:cs="Arial" w:ascii="Verdana" w:hAnsi="Verdana"/>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57" w:after="0"/>
        <w:jc w:val="both"/>
        <w:rPr>
          <w:rFonts w:ascii="Verdana" w:hAnsi="Verdana"/>
          <w:sz w:val="20"/>
          <w:szCs w:val="20"/>
        </w:rPr>
      </w:pPr>
      <w:r>
        <w:rPr>
          <w:rFonts w:cs="Arial" w:ascii="Verdana" w:hAnsi="Verdana"/>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57" w:after="0"/>
        <w:jc w:val="both"/>
        <w:rPr>
          <w:rFonts w:ascii="Verdana" w:hAnsi="Verdana"/>
          <w:sz w:val="20"/>
          <w:szCs w:val="20"/>
        </w:rPr>
      </w:pPr>
      <w:r>
        <w:rPr>
          <w:rFonts w:cs="Arial" w:ascii="Verdana" w:hAnsi="Verdana"/>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57" w:after="0"/>
        <w:jc w:val="both"/>
        <w:rPr>
          <w:rFonts w:ascii="Verdana" w:hAnsi="Verdana"/>
          <w:sz w:val="20"/>
          <w:szCs w:val="20"/>
        </w:rPr>
      </w:pPr>
      <w:r>
        <w:rPr>
          <w:rFonts w:cs="Arial" w:ascii="Verdana" w:hAnsi="Verdana"/>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57" w:after="0"/>
        <w:jc w:val="both"/>
        <w:rPr>
          <w:rFonts w:ascii="Verdana" w:hAnsi="Verdana"/>
          <w:sz w:val="20"/>
          <w:szCs w:val="20"/>
        </w:rPr>
      </w:pPr>
      <w:r>
        <w:rPr>
          <w:rFonts w:cs="Arial" w:ascii="Verdana" w:hAnsi="Verdana"/>
          <w:color w:val="000000"/>
          <w:sz w:val="20"/>
          <w:szCs w:val="20"/>
        </w:rPr>
        <w:t xml:space="preserve">7.27 Só poderá haver empate entre propostas iguais (não seguidas de lances), ou entre lances finais da fase fechada do modo de disputa aberto e fechado. </w:t>
      </w:r>
    </w:p>
    <w:p>
      <w:pPr>
        <w:pStyle w:val="Normal"/>
        <w:spacing w:lineRule="auto" w:line="276" w:before="57" w:after="0"/>
        <w:jc w:val="both"/>
        <w:rPr>
          <w:rFonts w:ascii="Verdana" w:hAnsi="Verdana"/>
          <w:sz w:val="20"/>
          <w:szCs w:val="20"/>
        </w:rPr>
      </w:pPr>
      <w:r>
        <w:rPr>
          <w:rFonts w:cs="Arial" w:ascii="Verdana" w:hAnsi="Verdana"/>
          <w:color w:val="000000"/>
          <w:sz w:val="20"/>
          <w:szCs w:val="20"/>
        </w:rPr>
        <w:t>7.28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before="57" w:after="0"/>
        <w:jc w:val="both"/>
        <w:rPr>
          <w:rFonts w:ascii="Verdana" w:hAnsi="Verdana"/>
          <w:sz w:val="20"/>
          <w:szCs w:val="20"/>
        </w:rPr>
      </w:pPr>
      <w:r>
        <w:rPr>
          <w:rFonts w:cs="Arial" w:ascii="Verdana" w:hAnsi="Verdana"/>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before="57" w:after="0"/>
        <w:jc w:val="both"/>
        <w:rPr>
          <w:rFonts w:ascii="Verdana" w:hAnsi="Verdana"/>
          <w:sz w:val="20"/>
          <w:szCs w:val="20"/>
        </w:rPr>
      </w:pPr>
      <w:r>
        <w:rPr>
          <w:rFonts w:cs="Arial" w:ascii="Verdana" w:hAnsi="Verdana"/>
          <w:color w:val="000000"/>
          <w:sz w:val="20"/>
          <w:szCs w:val="20"/>
          <w:lang w:eastAsia="en-US"/>
        </w:rPr>
        <w:t>7.28.3 Por empresas brasileiras;</w:t>
      </w:r>
    </w:p>
    <w:p>
      <w:pPr>
        <w:pStyle w:val="Normal"/>
        <w:spacing w:lineRule="auto" w:line="276" w:before="57" w:after="0"/>
        <w:jc w:val="both"/>
        <w:rPr>
          <w:rFonts w:ascii="Verdana" w:hAnsi="Verdana"/>
          <w:sz w:val="20"/>
          <w:szCs w:val="20"/>
        </w:rPr>
      </w:pPr>
      <w:r>
        <w:rPr>
          <w:rFonts w:cs="Arial" w:ascii="Verdana" w:hAnsi="Verdana"/>
          <w:color w:val="000000"/>
          <w:sz w:val="20"/>
          <w:szCs w:val="20"/>
          <w:lang w:eastAsia="en-US"/>
        </w:rPr>
        <w:t>7.28.4 Por empresas que invistam em pesquisa e no desenvolvimento de tecnologia no País;</w:t>
      </w:r>
    </w:p>
    <w:p>
      <w:pPr>
        <w:pStyle w:val="Normal"/>
        <w:spacing w:lineRule="auto" w:line="276" w:before="57" w:after="0"/>
        <w:jc w:val="both"/>
        <w:rPr/>
      </w:pPr>
      <w:r>
        <w:rPr>
          <w:rFonts w:cs="Arial" w:ascii="Verdana" w:hAnsi="Verdana"/>
          <w:color w:val="000000"/>
          <w:sz w:val="20"/>
          <w:szCs w:val="20"/>
          <w:lang w:eastAsia="en-US"/>
        </w:rPr>
        <w:t xml:space="preserve">7.28.5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76" w:before="57" w:after="0"/>
        <w:jc w:val="both"/>
        <w:rPr>
          <w:rFonts w:ascii="Verdana" w:hAnsi="Verdana"/>
          <w:sz w:val="20"/>
          <w:szCs w:val="20"/>
        </w:rPr>
      </w:pPr>
      <w:r>
        <w:rPr>
          <w:rFonts w:cs="Arial" w:ascii="Verdana" w:hAnsi="Verdana"/>
          <w:color w:val="000000"/>
          <w:sz w:val="20"/>
          <w:szCs w:val="20"/>
          <w:lang w:eastAsia="en-US"/>
        </w:rPr>
        <w:t xml:space="preserve">7.29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before="57" w:after="0"/>
        <w:jc w:val="both"/>
        <w:rPr>
          <w:rFonts w:ascii="Verdana" w:hAnsi="Verdana"/>
          <w:sz w:val="20"/>
          <w:szCs w:val="20"/>
        </w:rPr>
      </w:pPr>
      <w:r>
        <w:rPr>
          <w:rFonts w:cs="Arial" w:ascii="Verdana" w:hAnsi="Verdana"/>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7.30.1 A negociação será realizada por meio do sistema, podendo ser acompanhada pelos demais licitantes.</w:t>
      </w:r>
    </w:p>
    <w:p>
      <w:pPr>
        <w:pStyle w:val="ListParagraph"/>
        <w:tabs>
          <w:tab w:val="clear" w:pos="720"/>
          <w:tab w:val="left" w:pos="-12" w:leader="none"/>
        </w:tabs>
        <w:spacing w:lineRule="auto" w:line="276" w:before="57" w:after="0"/>
        <w:ind w:left="0"/>
        <w:contextualSpacing w:val="false"/>
        <w:jc w:val="both"/>
        <w:rPr>
          <w:rFonts w:ascii="Verdana" w:hAnsi="Verdana"/>
          <w:sz w:val="20"/>
          <w:szCs w:val="20"/>
        </w:rPr>
      </w:pPr>
      <w:r>
        <w:rPr>
          <w:rFonts w:cs="Arial" w:ascii="Verdana" w:hAnsi="Verdana"/>
          <w:color w:val="000000"/>
          <w:sz w:val="20"/>
          <w:szCs w:val="20"/>
        </w:rPr>
        <w:t>7.30.2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prorrogáveis a critério do pregoeiro, envie a proposta adequada ao último lance ofertado após a negociação realizada, acompanhada, se for o caso, dos documentos complementares, quando necessários à confirmação daqueles exigidos neste Edital e já apresentados. </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rPr>
        <w:t>7.31 Após a negociação do preço, o Pregoeiro iniciará a fase de aceitação e julgamento da proposta.</w:t>
      </w:r>
    </w:p>
    <w:p>
      <w:pPr>
        <w:pStyle w:val="ListParagraph"/>
        <w:tabs>
          <w:tab w:val="clear" w:pos="720"/>
          <w:tab w:val="left" w:pos="-12" w:leader="none"/>
        </w:tabs>
        <w:spacing w:lineRule="auto" w:line="276" w:before="57" w:after="0"/>
        <w:ind w:left="0"/>
        <w:contextualSpacing w:val="false"/>
        <w:jc w:val="both"/>
        <w:rPr>
          <w:rFonts w:ascii="Verdana" w:hAnsi="Verdana"/>
          <w:color w:val="000000"/>
          <w:sz w:val="20"/>
          <w:szCs w:val="20"/>
        </w:rPr>
      </w:pPr>
      <w:r>
        <w:rPr>
          <w:rFonts w:ascii="Verdana" w:hAnsi="Verdana"/>
          <w:color w:val="000000"/>
          <w:sz w:val="20"/>
          <w:szCs w:val="20"/>
        </w:rPr>
      </w:r>
    </w:p>
    <w:p>
      <w:pPr>
        <w:pStyle w:val="Nivel01"/>
        <w:numPr>
          <w:ilvl w:val="0"/>
          <w:numId w:val="2"/>
        </w:numPr>
        <w:tabs>
          <w:tab w:val="clear" w:pos="567"/>
          <w:tab w:val="left" w:pos="517" w:leader="none"/>
        </w:tabs>
        <w:spacing w:lineRule="auto" w:line="276" w:before="57" w:after="0"/>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20"/>
          <w:tab w:val="left" w:pos="517" w:leader="none"/>
        </w:tabs>
        <w:spacing w:lineRule="auto" w:line="276" w:before="57" w:after="0"/>
        <w:ind w:hanging="0" w:left="0"/>
        <w:contextualSpacing/>
        <w:jc w:val="both"/>
        <w:rPr>
          <w:rFonts w:ascii="Verdana" w:hAnsi="Verdana"/>
          <w:sz w:val="20"/>
          <w:szCs w:val="20"/>
        </w:rPr>
      </w:pPr>
      <w:r>
        <w:rPr>
          <w:rFonts w:cs="Arial" w:ascii="Verdana" w:hAnsi="Verdana"/>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pPr>
        <w:pStyle w:val="Normal"/>
        <w:numPr>
          <w:ilvl w:val="1"/>
          <w:numId w:val="2"/>
        </w:numPr>
        <w:tabs>
          <w:tab w:val="clear" w:pos="720"/>
          <w:tab w:val="left" w:pos="517" w:leader="none"/>
        </w:tabs>
        <w:spacing w:lineRule="auto" w:line="276" w:before="57" w:after="0"/>
        <w:ind w:hanging="0" w:left="0"/>
        <w:jc w:val="both"/>
        <w:rPr>
          <w:rFonts w:ascii="Verdana" w:hAnsi="Verdana"/>
          <w:sz w:val="20"/>
          <w:szCs w:val="20"/>
        </w:rPr>
      </w:pPr>
      <w:r>
        <w:rPr>
          <w:rFonts w:cs="Arial" w:ascii="Verdana" w:hAnsi="Verdana"/>
          <w:color w:val="000000"/>
          <w:sz w:val="20"/>
          <w:szCs w:val="20"/>
        </w:rPr>
        <w:t>Será desclassificada a proposta ou o lance vencedor, apresentar preço final superior ao preço máximo fixado (Acórdão no 1455/2018 – TCU – Plenário), ou que apresentar preço manifestamente inexequível.</w:t>
      </w:r>
    </w:p>
    <w:p>
      <w:pPr>
        <w:pStyle w:val="Normal"/>
        <w:numPr>
          <w:ilvl w:val="1"/>
          <w:numId w:val="2"/>
        </w:numPr>
        <w:tabs>
          <w:tab w:val="clear" w:pos="720"/>
          <w:tab w:val="left" w:pos="517" w:leader="none"/>
        </w:tabs>
        <w:spacing w:lineRule="auto" w:line="276" w:before="57" w:after="0"/>
        <w:ind w:hanging="0" w:left="0"/>
        <w:jc w:val="both"/>
        <w:rPr>
          <w:rFonts w:ascii="Verdana" w:hAnsi="Verdana"/>
          <w:sz w:val="20"/>
          <w:szCs w:val="20"/>
        </w:rPr>
      </w:pPr>
      <w:r>
        <w:rPr>
          <w:rFonts w:cs="Arial" w:ascii="Verdana" w:hAnsi="Verdana"/>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pPr>
        <w:pStyle w:val="ListParagraph"/>
        <w:numPr>
          <w:ilvl w:val="1"/>
          <w:numId w:val="2"/>
        </w:numPr>
        <w:tabs>
          <w:tab w:val="clear" w:pos="720"/>
          <w:tab w:val="left" w:pos="517" w:leader="none"/>
        </w:tabs>
        <w:spacing w:lineRule="auto" w:line="276" w:before="57" w:after="0"/>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20"/>
          <w:tab w:val="left" w:pos="517" w:leader="none"/>
        </w:tabs>
        <w:spacing w:lineRule="auto" w:line="276" w:before="57" w:after="0"/>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91"/>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91"/>
          <w:sz w:val="20"/>
          <w:u w:val="single"/>
          <w:szCs w:val="20"/>
          <w:rFonts w:cs="Arial" w:ascii="Verdana" w:hAnsi="Verdana"/>
          <w:color w:val="000080"/>
        </w:rPr>
        <w:fldChar w:fldCharType="separate"/>
      </w:r>
      <w:r>
        <w:rPr>
          <w:rStyle w:val="ListLabel191"/>
          <w:rFonts w:cs="Arial" w:ascii="Verdana" w:hAnsi="Verdana"/>
          <w:color w:val="000080"/>
          <w:sz w:val="20"/>
          <w:szCs w:val="20"/>
          <w:u w:val="single"/>
        </w:rPr>
        <w:t>artigo 29 a 35 da IN SEGES nº 73, de 30 de setembro de 2022</w:t>
      </w:r>
      <w:r>
        <w:rPr>
          <w:rStyle w:val="ListLabel191"/>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20"/>
          <w:tab w:val="left" w:pos="517" w:leader="none"/>
        </w:tabs>
        <w:spacing w:lineRule="auto" w:line="276" w:before="57" w:after="0"/>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20"/>
          <w:tab w:val="left" w:pos="517" w:leader="none"/>
        </w:tabs>
        <w:spacing w:lineRule="auto" w:line="276" w:before="57" w:after="0"/>
        <w:jc w:val="both"/>
        <w:rPr>
          <w:rFonts w:ascii="Verdana" w:hAnsi="Verdana"/>
          <w:sz w:val="20"/>
          <w:szCs w:val="20"/>
        </w:rPr>
      </w:pPr>
      <w:r>
        <w:rPr>
          <w:rFonts w:ascii="Verdana" w:hAnsi="Verdana"/>
          <w:sz w:val="20"/>
          <w:szCs w:val="20"/>
        </w:rPr>
        <w:t xml:space="preserve">8.4.1 não estiver em conformidade com os requisitos estabelecidos neste edital; </w:t>
      </w:r>
    </w:p>
    <w:p>
      <w:pPr>
        <w:pStyle w:val="Normal"/>
        <w:tabs>
          <w:tab w:val="clear" w:pos="720"/>
          <w:tab w:val="left" w:pos="517" w:leader="none"/>
        </w:tabs>
        <w:spacing w:lineRule="auto" w:line="276" w:before="57" w:after="0"/>
        <w:jc w:val="both"/>
        <w:rPr>
          <w:rFonts w:ascii="Verdana" w:hAnsi="Verdana"/>
          <w:sz w:val="20"/>
          <w:szCs w:val="20"/>
        </w:rPr>
      </w:pPr>
      <w:r>
        <w:rPr>
          <w:rFonts w:ascii="Verdana" w:hAnsi="Verdana"/>
          <w:sz w:val="20"/>
          <w:szCs w:val="20"/>
        </w:rPr>
        <w:t>8.4.2 contenha vício insanável ou ilegalidade;</w:t>
      </w:r>
    </w:p>
    <w:p>
      <w:pPr>
        <w:pStyle w:val="Normal"/>
        <w:tabs>
          <w:tab w:val="clear" w:pos="720"/>
          <w:tab w:val="left" w:pos="517" w:leader="none"/>
        </w:tabs>
        <w:spacing w:lineRule="auto" w:line="276" w:before="57" w:after="0"/>
        <w:jc w:val="both"/>
        <w:rPr>
          <w:rFonts w:ascii="Verdana" w:hAnsi="Verdana"/>
          <w:sz w:val="20"/>
          <w:szCs w:val="20"/>
        </w:rPr>
      </w:pPr>
      <w:r>
        <w:rPr>
          <w:rFonts w:ascii="Verdana" w:hAnsi="Verdana"/>
          <w:sz w:val="20"/>
          <w:szCs w:val="20"/>
        </w:rPr>
        <w:t>8.4.3 não apresente as especificações técnicas exigidas pelo Termo de Referência;</w:t>
      </w:r>
    </w:p>
    <w:p>
      <w:pPr>
        <w:pStyle w:val="Normal"/>
        <w:tabs>
          <w:tab w:val="clear" w:pos="720"/>
          <w:tab w:val="left" w:pos="517" w:leader="none"/>
        </w:tabs>
        <w:spacing w:lineRule="auto" w:line="276" w:before="57" w:after="0"/>
        <w:jc w:val="both"/>
        <w:rPr>
          <w:rFonts w:ascii="Verdana" w:hAnsi="Verdana"/>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pPr>
        <w:pStyle w:val="Normal"/>
        <w:tabs>
          <w:tab w:val="clear" w:pos="720"/>
          <w:tab w:val="left" w:pos="517" w:leader="none"/>
        </w:tabs>
        <w:spacing w:lineRule="auto" w:line="276" w:before="57" w:after="0"/>
        <w:jc w:val="both"/>
        <w:rPr>
          <w:rFonts w:ascii="Verdana" w:hAnsi="Verdana"/>
          <w:sz w:val="20"/>
          <w:szCs w:val="20"/>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pPr>
        <w:pStyle w:val="Normal"/>
        <w:tabs>
          <w:tab w:val="clear" w:pos="720"/>
          <w:tab w:val="left" w:pos="517" w:leader="none"/>
        </w:tabs>
        <w:spacing w:lineRule="auto" w:line="276" w:before="57" w:after="0"/>
        <w:jc w:val="both"/>
        <w:rPr>
          <w:rFonts w:ascii="Verdana" w:hAnsi="Verdana"/>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tabs>
          <w:tab w:val="clear" w:pos="720"/>
          <w:tab w:val="left" w:pos="517" w:leader="none"/>
        </w:tabs>
        <w:spacing w:lineRule="auto" w:line="276" w:before="57" w:after="0"/>
        <w:jc w:val="both"/>
        <w:rPr>
          <w:rFonts w:ascii="Verdana" w:hAnsi="Verdana"/>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pPr>
        <w:pStyle w:val="Normal"/>
        <w:tabs>
          <w:tab w:val="clear" w:pos="720"/>
          <w:tab w:val="left" w:pos="517" w:leader="none"/>
        </w:tabs>
        <w:spacing w:lineRule="auto" w:line="276" w:before="57" w:after="0"/>
        <w:jc w:val="both"/>
        <w:rPr>
          <w:rFonts w:ascii="Verdana" w:hAnsi="Verdana"/>
          <w:sz w:val="20"/>
          <w:szCs w:val="20"/>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pPr>
        <w:pStyle w:val="Normal"/>
        <w:tabs>
          <w:tab w:val="clear" w:pos="720"/>
          <w:tab w:val="left" w:pos="517" w:leader="none"/>
        </w:tabs>
        <w:spacing w:lineRule="auto" w:line="276" w:before="57" w:after="0"/>
        <w:jc w:val="both"/>
        <w:rPr>
          <w:rFonts w:ascii="Verdana" w:hAnsi="Verdana"/>
          <w:sz w:val="20"/>
          <w:szCs w:val="20"/>
        </w:rPr>
      </w:pPr>
      <w:r>
        <w:rPr>
          <w:rFonts w:ascii="Verdana" w:hAnsi="Verdana"/>
          <w:sz w:val="20"/>
          <w:szCs w:val="20"/>
        </w:rPr>
        <w:t>8.5 É vedado à proponente incluir na Planilha de Custos e Formação de Preços:</w:t>
      </w:r>
    </w:p>
    <w:p>
      <w:pPr>
        <w:pStyle w:val="Normal"/>
        <w:tabs>
          <w:tab w:val="clear" w:pos="720"/>
          <w:tab w:val="left" w:pos="517" w:leader="none"/>
        </w:tabs>
        <w:spacing w:lineRule="auto" w:line="276" w:before="57" w:after="0"/>
        <w:jc w:val="both"/>
        <w:rPr>
          <w:rFonts w:ascii="Verdana" w:hAnsi="Verdana"/>
          <w:sz w:val="20"/>
          <w:szCs w:val="20"/>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tabs>
          <w:tab w:val="clear" w:pos="720"/>
          <w:tab w:val="left" w:pos="517" w:leader="none"/>
        </w:tabs>
        <w:spacing w:lineRule="auto" w:line="276" w:before="57" w:after="0"/>
        <w:jc w:val="both"/>
        <w:rPr>
          <w:rFonts w:ascii="Verdana" w:hAnsi="Verdana"/>
          <w:sz w:val="20"/>
          <w:szCs w:val="20"/>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pPr>
        <w:pStyle w:val="Normal"/>
        <w:tabs>
          <w:tab w:val="clear" w:pos="720"/>
          <w:tab w:val="left" w:pos="517" w:leader="none"/>
        </w:tabs>
        <w:spacing w:lineRule="auto" w:line="276" w:before="57" w:after="0"/>
        <w:jc w:val="both"/>
        <w:rPr>
          <w:rFonts w:ascii="Verdana" w:hAnsi="Verdana"/>
          <w:sz w:val="20"/>
          <w:szCs w:val="20"/>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pPr>
        <w:pStyle w:val="Normal"/>
        <w:tabs>
          <w:tab w:val="clear" w:pos="720"/>
          <w:tab w:val="left" w:pos="517" w:leader="none"/>
        </w:tabs>
        <w:spacing w:lineRule="auto" w:line="276" w:before="57" w:after="0"/>
        <w:jc w:val="both"/>
        <w:rPr>
          <w:rFonts w:ascii="Verdana" w:hAnsi="Verdana"/>
          <w:sz w:val="20"/>
          <w:szCs w:val="20"/>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tabs>
          <w:tab w:val="clear" w:pos="720"/>
          <w:tab w:val="left" w:pos="517" w:leader="none"/>
        </w:tabs>
        <w:spacing w:lineRule="auto" w:line="276" w:before="57" w:after="0"/>
        <w:jc w:val="both"/>
        <w:rPr>
          <w:rFonts w:ascii="Verdana" w:hAnsi="Verdana"/>
          <w:sz w:val="20"/>
          <w:szCs w:val="20"/>
        </w:rPr>
      </w:pPr>
      <w:r>
        <w:rPr>
          <w:rFonts w:ascii="Verdana" w:hAnsi="Verdana"/>
          <w:sz w:val="20"/>
          <w:szCs w:val="20"/>
        </w:rPr>
        <w:t xml:space="preserve">8.5.5 rubrica para pagamento do Imposto de Renda Pessoa Jurídica – IRPJ e da Contribuição Social Sobre o Lucro Líquido – CSLL; </w:t>
      </w:r>
    </w:p>
    <w:p>
      <w:pPr>
        <w:pStyle w:val="Normal"/>
        <w:tabs>
          <w:tab w:val="clear" w:pos="720"/>
          <w:tab w:val="left" w:pos="517" w:leader="none"/>
        </w:tabs>
        <w:spacing w:lineRule="auto" w:line="276" w:before="57" w:after="0"/>
        <w:jc w:val="both"/>
        <w:rPr>
          <w:rFonts w:ascii="Verdana" w:hAnsi="Verdana"/>
          <w:sz w:val="20"/>
          <w:szCs w:val="20"/>
        </w:rPr>
      </w:pPr>
      <w:r>
        <w:rPr>
          <w:rFonts w:ascii="Verdana" w:hAnsi="Verdana"/>
          <w:sz w:val="20"/>
          <w:szCs w:val="20"/>
        </w:rPr>
        <w:t>8.5.6 rubrica denominada “verba” ou “verba provisional”, pois o item não está vinculado a qualquer contraprestação mensurável.</w:t>
      </w:r>
    </w:p>
    <w:p>
      <w:pPr>
        <w:pStyle w:val="Normal"/>
        <w:numPr>
          <w:ilvl w:val="1"/>
          <w:numId w:val="2"/>
        </w:numPr>
        <w:tabs>
          <w:tab w:val="clear" w:pos="720"/>
          <w:tab w:val="left" w:pos="517" w:leader="none"/>
        </w:tabs>
        <w:spacing w:lineRule="auto" w:line="276" w:before="57" w:after="0"/>
        <w:ind w:hanging="0" w:left="0"/>
        <w:jc w:val="both"/>
        <w:rPr>
          <w:rFonts w:ascii="Verdana" w:hAnsi="Verdana"/>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pPr>
        <w:pStyle w:val="Normal"/>
        <w:tabs>
          <w:tab w:val="clear" w:pos="720"/>
          <w:tab w:val="left" w:pos="517" w:leader="none"/>
        </w:tabs>
        <w:spacing w:lineRule="auto" w:line="276" w:before="57" w:after="0"/>
        <w:jc w:val="both"/>
        <w:rPr>
          <w:rFonts w:ascii="Verdana" w:hAnsi="Verdana"/>
          <w:sz w:val="20"/>
          <w:szCs w:val="20"/>
        </w:rPr>
      </w:pPr>
      <w:r>
        <w:rPr>
          <w:rFonts w:ascii="Verdana" w:hAnsi="Verdana"/>
          <w:sz w:val="20"/>
          <w:szCs w:val="20"/>
        </w:rPr>
        <w:t>8.7.1 Na hipótese de contratação com a previsão de itens de custos vedados, tais valores serão glosados e os itens serão excluídos da Planilha, garantidas ampla defesa e contraditório.</w:t>
      </w:r>
    </w:p>
    <w:p>
      <w:pPr>
        <w:pStyle w:val="Normal"/>
        <w:numPr>
          <w:ilvl w:val="1"/>
          <w:numId w:val="2"/>
        </w:numPr>
        <w:tabs>
          <w:tab w:val="clear" w:pos="720"/>
          <w:tab w:val="left" w:pos="517" w:leader="none"/>
        </w:tabs>
        <w:spacing w:lineRule="auto" w:line="276" w:before="57" w:after="0"/>
        <w:ind w:hanging="0" w:left="0"/>
        <w:jc w:val="both"/>
        <w:rPr>
          <w:rFonts w:ascii="Verdana" w:hAnsi="Verdana"/>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pPr>
        <w:pStyle w:val="Normal"/>
        <w:numPr>
          <w:ilvl w:val="1"/>
          <w:numId w:val="2"/>
        </w:numPr>
        <w:tabs>
          <w:tab w:val="clear" w:pos="720"/>
          <w:tab w:val="left" w:pos="517" w:leader="none"/>
        </w:tabs>
        <w:spacing w:lineRule="auto" w:line="276" w:before="57" w:after="0"/>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numPr>
          <w:ilvl w:val="1"/>
          <w:numId w:val="2"/>
        </w:numPr>
        <w:tabs>
          <w:tab w:val="clear" w:pos="720"/>
          <w:tab w:val="left" w:pos="517" w:leader="none"/>
        </w:tabs>
        <w:spacing w:lineRule="auto" w:line="276" w:before="57" w:after="0"/>
        <w:ind w:hanging="0" w:left="0"/>
        <w:jc w:val="both"/>
        <w:rPr>
          <w:rFonts w:ascii="Verdana" w:hAnsi="Verdana"/>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tabs>
          <w:tab w:val="clear" w:pos="720"/>
          <w:tab w:val="left" w:pos="517" w:leader="none"/>
        </w:tabs>
        <w:spacing w:lineRule="auto" w:line="276" w:before="57" w:after="0"/>
        <w:jc w:val="both"/>
        <w:rPr>
          <w:rFonts w:ascii="Verdana" w:hAnsi="Verdana"/>
          <w:sz w:val="20"/>
          <w:szCs w:val="20"/>
        </w:rPr>
      </w:pPr>
      <w:r>
        <w:rPr>
          <w:rFonts w:ascii="Verdana" w:hAnsi="Verdana"/>
          <w:sz w:val="20"/>
          <w:szCs w:val="20"/>
        </w:rPr>
        <w:t xml:space="preserve">8.10.1 As propostas com preços próximos ou inferiores ao mínimo estabelecido pela Prefeitura Municipal de São Gabriel da Palha, disponibilizado em meio eletrônico, no Portal de Compras Públicas – www.portaldecompraspublicas.com.br, deverão comprovar sua exequibilidade, de forma inequívoca, sob pena de desclassificação, sem prejuízo do disposto nos itens 9.2 a 9.6 do Anexo VII-A, da Instrução Normativa/SEGES/MP n.º 5/2017 (Portaria SEGES/MP n. 213, de 25 de setembro de 2017).  </w:t>
      </w:r>
    </w:p>
    <w:p>
      <w:pPr>
        <w:pStyle w:val="ListParagraph"/>
        <w:numPr>
          <w:ilvl w:val="1"/>
          <w:numId w:val="2"/>
        </w:numPr>
        <w:tabs>
          <w:tab w:val="clear" w:pos="720"/>
          <w:tab w:val="left" w:pos="517" w:leader="none"/>
        </w:tabs>
        <w:spacing w:lineRule="auto" w:line="276" w:before="57" w:after="0"/>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20"/>
          <w:tab w:val="left" w:pos="517" w:leader="none"/>
        </w:tabs>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8.11.1.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20"/>
          <w:tab w:val="left" w:pos="517" w:leader="none"/>
        </w:tabs>
        <w:spacing w:lineRule="auto" w:line="276" w:before="57" w:after="0"/>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8.12.1 É facultado ao pregoeiro prorrogar o prazo estabelecido, a partir de solicitação fundamentada feita no chat pelo licitante, antes de findo o prazo.</w:t>
      </w:r>
    </w:p>
    <w:p>
      <w:pPr>
        <w:pStyle w:val="ListParagraph"/>
        <w:spacing w:lineRule="auto" w:line="276" w:before="57" w:after="0"/>
        <w:ind w:left="0"/>
        <w:contextualSpacing w:val="false"/>
        <w:jc w:val="both"/>
        <w:rPr>
          <w:rFonts w:ascii="Verdana" w:hAnsi="Verdana"/>
          <w:sz w:val="20"/>
          <w:szCs w:val="20"/>
        </w:rPr>
      </w:pPr>
      <w:r>
        <w:rPr>
          <w:rFonts w:cs="Arial" w:ascii="Verdana" w:hAnsi="Verdana"/>
          <w:sz w:val="20"/>
          <w:szCs w:val="20"/>
          <w:lang w:eastAsia="en-US"/>
        </w:rPr>
        <w:t>8.12.2 Dentre os documentos passíveis de solicitação pelo Pregoeiro, destacam-se as planilhas de custo readequadas com o valor final ofertado.</w:t>
      </w:r>
    </w:p>
    <w:p>
      <w:pPr>
        <w:pStyle w:val="ListParagraph"/>
        <w:numPr>
          <w:ilvl w:val="1"/>
          <w:numId w:val="2"/>
        </w:numPr>
        <w:tabs>
          <w:tab w:val="clear" w:pos="720"/>
          <w:tab w:val="left" w:pos="517" w:leader="none"/>
        </w:tabs>
        <w:spacing w:lineRule="auto" w:line="276" w:before="57" w:after="0"/>
        <w:ind w:hanging="0" w:left="0"/>
        <w:contextualSpacing w:val="false"/>
        <w:jc w:val="both"/>
        <w:rPr>
          <w:rFonts w:ascii="Verdana" w:hAnsi="Verdana"/>
          <w:sz w:val="20"/>
          <w:szCs w:val="20"/>
        </w:rPr>
      </w:pPr>
      <w:r>
        <w:rPr>
          <w:rFonts w:cs="Arial" w:ascii="Verdana" w:hAnsi="Verdana"/>
          <w:bCs/>
          <w:iCs/>
          <w:color w:val="000000"/>
          <w:sz w:val="20"/>
          <w:szCs w:val="20"/>
        </w:rPr>
        <w:t xml:space="preserve"> </w:t>
      </w:r>
      <w:r>
        <w:rPr>
          <w:rFonts w:cs="Arial" w:ascii="Verdana" w:hAnsi="Verdana"/>
          <w:bCs/>
          <w:iCs/>
          <w:color w:val="000000"/>
          <w:sz w:val="20"/>
          <w:szCs w:val="20"/>
        </w:rPr>
        <w:t xml:space="preserve">Todos os dados informados pelo licitante em sua planilha deverão refletir com fidelidade os custos especificados e a margem de lucro pretendida. </w:t>
      </w:r>
    </w:p>
    <w:p>
      <w:pPr>
        <w:pStyle w:val="ListParagraph"/>
        <w:numPr>
          <w:ilvl w:val="1"/>
          <w:numId w:val="2"/>
        </w:numPr>
        <w:tabs>
          <w:tab w:val="clear" w:pos="720"/>
          <w:tab w:val="left" w:pos="517" w:leader="none"/>
        </w:tabs>
        <w:spacing w:lineRule="auto" w:line="276" w:before="57" w:after="0"/>
        <w:ind w:hanging="0" w:left="0"/>
        <w:contextualSpacing w:val="false"/>
        <w:jc w:val="both"/>
        <w:rPr>
          <w:rFonts w:ascii="Verdana" w:hAnsi="Verdana"/>
          <w:sz w:val="20"/>
          <w:szCs w:val="20"/>
        </w:rPr>
      </w:pPr>
      <w:r>
        <w:rPr>
          <w:rFonts w:cs="Arial" w:ascii="Verdana" w:hAnsi="Verdana"/>
          <w:sz w:val="20"/>
          <w:szCs w:val="20"/>
          <w:lang w:eastAsia="en-US"/>
        </w:rPr>
        <w:t xml:space="preserve"> </w:t>
      </w:r>
      <w:r>
        <w:rPr>
          <w:rFonts w:cs="Arial" w:ascii="Verdana" w:hAnsi="Verdana"/>
          <w:sz w:val="20"/>
          <w:szCs w:val="20"/>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numPr>
          <w:ilvl w:val="1"/>
          <w:numId w:val="2"/>
        </w:numPr>
        <w:tabs>
          <w:tab w:val="clear" w:pos="720"/>
          <w:tab w:val="left" w:pos="517" w:leader="none"/>
        </w:tabs>
        <w:spacing w:lineRule="auto" w:line="276" w:before="57" w:after="0"/>
        <w:ind w:hanging="0" w:left="0"/>
        <w:contextualSpacing w:val="false"/>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Erros no preenchimento da planilha não constituem motivo para a desclassificação da proposta. A planilha poderá́ ser ajustada pelo licitante, no prazo indicado pelo Pregoeiro, desde que não haja majoração do preço. </w:t>
      </w:r>
    </w:p>
    <w:p>
      <w:pPr>
        <w:pStyle w:val="Normal"/>
        <w:numPr>
          <w:ilvl w:val="2"/>
          <w:numId w:val="2"/>
        </w:numPr>
        <w:tabs>
          <w:tab w:val="clear" w:pos="720"/>
          <w:tab w:val="left" w:pos="683" w:leader="none"/>
          <w:tab w:val="left" w:pos="900" w:leader="none"/>
        </w:tabs>
        <w:snapToGrid w:val="false"/>
        <w:spacing w:lineRule="auto" w:line="276" w:before="57" w:after="0"/>
        <w:ind w:hanging="0" w:left="0"/>
        <w:jc w:val="both"/>
        <w:rPr>
          <w:rFonts w:ascii="Verdana" w:hAnsi="Verdana"/>
          <w:sz w:val="20"/>
          <w:szCs w:val="20"/>
        </w:rPr>
      </w:pPr>
      <w:r>
        <w:rPr>
          <w:rFonts w:cs="Arial" w:ascii="Verdana" w:hAnsi="Verdana"/>
          <w:sz w:val="20"/>
          <w:szCs w:val="20"/>
        </w:rPr>
        <w:t>O ajuste de que trata este dispositivo se limita a sanar erros ou falhas que não alterem a substância das propostas;</w:t>
      </w:r>
    </w:p>
    <w:p>
      <w:pPr>
        <w:pStyle w:val="Normal"/>
        <w:numPr>
          <w:ilvl w:val="2"/>
          <w:numId w:val="2"/>
        </w:numPr>
        <w:tabs>
          <w:tab w:val="clear" w:pos="720"/>
          <w:tab w:val="left" w:pos="683" w:leader="none"/>
          <w:tab w:val="left" w:pos="900" w:leader="none"/>
        </w:tabs>
        <w:snapToGrid w:val="false"/>
        <w:spacing w:lineRule="auto" w:line="276" w:before="57" w:after="0"/>
        <w:ind w:hanging="0" w:left="0"/>
        <w:jc w:val="both"/>
        <w:rPr>
          <w:rFonts w:ascii="Verdana" w:hAnsi="Verdana"/>
          <w:sz w:val="20"/>
          <w:szCs w:val="20"/>
        </w:rPr>
      </w:pPr>
      <w:r>
        <w:rPr>
          <w:rFonts w:cs="Arial" w:ascii="Verdana" w:hAnsi="Verdana"/>
          <w:color w:val="000000"/>
          <w:sz w:val="20"/>
          <w:szCs w:val="20"/>
        </w:rPr>
        <w:t>Considera-se erro no preenchimento da planilha passível de correção a indicação de recolhimento de impostos e contribuições na forma do Simples Nacional, quando não cabível esse regime.</w:t>
      </w:r>
    </w:p>
    <w:p>
      <w:pPr>
        <w:pStyle w:val="Normal"/>
        <w:numPr>
          <w:ilvl w:val="2"/>
          <w:numId w:val="2"/>
        </w:numPr>
        <w:tabs>
          <w:tab w:val="clear" w:pos="720"/>
          <w:tab w:val="left" w:pos="683" w:leader="none"/>
          <w:tab w:val="left" w:pos="900" w:leader="none"/>
        </w:tabs>
        <w:snapToGrid w:val="false"/>
        <w:spacing w:lineRule="auto" w:line="276" w:before="57" w:after="0"/>
        <w:ind w:hanging="0" w:left="0"/>
        <w:jc w:val="both"/>
        <w:rPr>
          <w:rFonts w:ascii="Verdana" w:hAnsi="Verdana"/>
          <w:sz w:val="20"/>
          <w:szCs w:val="20"/>
        </w:rPr>
      </w:pPr>
      <w:r>
        <w:rPr>
          <w:rFonts w:cs="Arial" w:ascii="Verdana" w:hAnsi="Verdana"/>
          <w:color w:val="000000"/>
          <w:sz w:val="20"/>
          <w:szCs w:val="20"/>
        </w:rPr>
        <w:t>O Pregoeiro deverá verificar se a proposta apresenta o valor total dos custos da contratação, inclusive aqueles estimados para as ocorrências de fatos geradores.</w:t>
      </w:r>
    </w:p>
    <w:p>
      <w:pPr>
        <w:pStyle w:val="ListParagraph"/>
        <w:numPr>
          <w:ilvl w:val="1"/>
          <w:numId w:val="2"/>
        </w:numPr>
        <w:tabs>
          <w:tab w:val="clear" w:pos="720"/>
          <w:tab w:val="left" w:pos="517" w:leader="none"/>
        </w:tabs>
        <w:spacing w:lineRule="auto" w:line="276" w:before="57" w:after="0"/>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before="57" w:after="0"/>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before="57" w:after="0"/>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before="57" w:after="0"/>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before="57" w:after="0"/>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before="57" w:after="0"/>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0"/>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76" w:before="57" w:after="0"/>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0"/>
        <w:ind w:left="567"/>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76" w:before="57" w:after="0"/>
        <w:ind w:left="567"/>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2">
        <w:r>
          <w:rPr>
            <w:rStyle w:val="ListLabel192"/>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57" w:after="0"/>
        <w:ind w:left="567"/>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3">
        <w:r>
          <w:rPr>
            <w:rStyle w:val="ListLabel192"/>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57" w:after="0"/>
        <w:ind w:left="567"/>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57" w:after="0"/>
        <w:ind w:left="56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4">
        <w:r>
          <w:rPr>
            <w:rStyle w:val="ListLabel193"/>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before="57" w:after="0"/>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5">
        <w:r>
          <w:rPr>
            <w:rStyle w:val="ListLabel192"/>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57" w:after="0"/>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lineRule="auto" w:line="276" w:before="57" w:after="0"/>
        <w:ind w:left="0"/>
        <w:contextualSpacing w:val="false"/>
        <w:jc w:val="both"/>
        <w:rPr>
          <w:rFonts w:ascii="Verdana" w:hAnsi="Verdana"/>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lineRule="auto" w:line="276" w:before="57" w:after="0"/>
        <w:ind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lineRule="auto" w:line="276" w:before="57" w:after="0"/>
        <w:ind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57" w:after="0"/>
        <w:ind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57" w:after="0"/>
        <w:ind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20"/>
          <w:tab w:val="left" w:pos="567" w:leader="none"/>
        </w:tabs>
        <w:spacing w:lineRule="auto" w:line="276" w:before="57" w:after="0"/>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57" w:after="0"/>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57" w:after="0"/>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57" w:after="0"/>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2"/>
        </w:numPr>
        <w:tabs>
          <w:tab w:val="clear" w:pos="720"/>
          <w:tab w:val="left" w:pos="567" w:leader="none"/>
        </w:tabs>
        <w:spacing w:before="57" w:after="0"/>
        <w:ind w:hanging="0" w:left="0"/>
        <w:rPr>
          <w:rFonts w:ascii="Verdana" w:hAnsi="Verdana"/>
          <w:szCs w:val="20"/>
        </w:rPr>
      </w:pPr>
      <w:r>
        <w:rPr>
          <w:rFonts w:cs="Arial" w:ascii="Verdana" w:hAnsi="Verdana"/>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numPr>
          <w:ilvl w:val="1"/>
          <w:numId w:val="2"/>
        </w:numPr>
        <w:tabs>
          <w:tab w:val="clear" w:pos="720"/>
          <w:tab w:val="left" w:pos="567" w:leader="none"/>
        </w:tabs>
        <w:spacing w:before="57" w:after="0"/>
        <w:ind w:hanging="0" w:left="0"/>
        <w:rPr>
          <w:rFonts w:ascii="Verdana" w:hAnsi="Verdana"/>
          <w:szCs w:val="20"/>
        </w:rPr>
      </w:pPr>
      <w:r>
        <w:rPr>
          <w:rFonts w:cs="Arial" w:ascii="Verdana" w:hAnsi="Verdana"/>
          <w:szCs w:val="20"/>
        </w:rPr>
        <w:t>Somente haverá a necessidade de comprovação do preenchimento de requisitos mediante apresentação dos documentos originais não digitais quando houver dúvida em relação à integridade do documento digital.</w:t>
      </w:r>
    </w:p>
    <w:p>
      <w:pPr>
        <w:pStyle w:val="PADRO"/>
        <w:widowControl/>
        <w:numPr>
          <w:ilvl w:val="1"/>
          <w:numId w:val="2"/>
        </w:numPr>
        <w:tabs>
          <w:tab w:val="clear" w:pos="720"/>
          <w:tab w:val="left" w:pos="567" w:leader="none"/>
        </w:tabs>
        <w:spacing w:before="57" w:after="0"/>
        <w:ind w:hanging="0" w:left="0"/>
        <w:rPr>
          <w:rFonts w:ascii="Verdana" w:hAnsi="Verdana"/>
          <w:szCs w:val="20"/>
        </w:rPr>
      </w:pPr>
      <w:r>
        <w:rPr>
          <w:rFonts w:cs="Arial" w:ascii="Verdana" w:hAnsi="Verdana"/>
          <w:szCs w:val="20"/>
        </w:rPr>
        <w:t>Não serão aceitos documentos de habilitação com indicação de CNPJ/CPF diferentes, salvo aqueles legalmente permitidos.</w:t>
      </w:r>
    </w:p>
    <w:p>
      <w:pPr>
        <w:pStyle w:val="PADRO"/>
        <w:widowControl/>
        <w:numPr>
          <w:ilvl w:val="1"/>
          <w:numId w:val="2"/>
        </w:numPr>
        <w:tabs>
          <w:tab w:val="clear" w:pos="720"/>
          <w:tab w:val="left" w:pos="567" w:leader="none"/>
        </w:tabs>
        <w:spacing w:before="57" w:after="0"/>
        <w:ind w:hanging="0" w:left="0"/>
        <w:rPr>
          <w:rFonts w:ascii="Verdana" w:hAnsi="Verdana"/>
          <w:szCs w:val="20"/>
        </w:rPr>
      </w:pPr>
      <w:r>
        <w:rPr>
          <w:rFonts w:cs="Arial" w:ascii="Verdana" w:hAnsi="Verdana"/>
          <w:szCs w:val="20"/>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2"/>
        </w:numPr>
        <w:tabs>
          <w:tab w:val="clear" w:pos="720"/>
          <w:tab w:val="left" w:pos="567" w:leader="none"/>
        </w:tabs>
        <w:spacing w:before="57" w:after="0"/>
        <w:ind w:hanging="0" w:left="0"/>
        <w:rPr>
          <w:rFonts w:ascii="Verdana" w:hAnsi="Verdana"/>
          <w:szCs w:val="20"/>
        </w:rPr>
      </w:pPr>
      <w:r>
        <w:rPr>
          <w:rFonts w:cs="Arial" w:ascii="Verdana" w:hAnsi="Verdana"/>
          <w:szCs w:val="20"/>
        </w:rPr>
        <w:t>Ressalvado o disposto no item 5.3, os licitantes deverão encaminhar, nos termos deste Edital, a documentação relacionada nos itens a seguir, para fins de habilitação:</w:t>
      </w:r>
    </w:p>
    <w:p>
      <w:pPr>
        <w:pStyle w:val="PADRO"/>
        <w:widowControl/>
        <w:tabs>
          <w:tab w:val="clear" w:pos="720"/>
          <w:tab w:val="left" w:pos="567" w:leader="none"/>
        </w:tabs>
        <w:spacing w:before="57" w:after="0"/>
        <w:ind w:hanging="0"/>
        <w:rPr>
          <w:rFonts w:ascii="Verdana" w:hAnsi="Verdana"/>
          <w:szCs w:val="20"/>
        </w:rPr>
      </w:pPr>
      <w:r>
        <w:rPr>
          <w:rFonts w:ascii="Verdana" w:hAnsi="Verdana"/>
          <w:szCs w:val="20"/>
        </w:rPr>
      </w:r>
    </w:p>
    <w:p>
      <w:pPr>
        <w:pStyle w:val="ListParagraph"/>
        <w:numPr>
          <w:ilvl w:val="1"/>
          <w:numId w:val="2"/>
        </w:numPr>
        <w:spacing w:lineRule="auto" w:line="276" w:before="57" w:after="0"/>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lineRule="auto" w:line="276" w:before="57" w:after="0"/>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57" w:after="0"/>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6">
        <w:r>
          <w:rPr>
            <w:rStyle w:val="ListLabel194"/>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57" w:after="0"/>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57" w:after="0"/>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57" w:after="0"/>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57" w:after="0"/>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57" w:after="0"/>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57" w:after="0"/>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spacing w:lineRule="auto" w:line="276" w:before="57" w:after="0"/>
        <w:ind w:left="0"/>
        <w:contextualSpacing w:val="false"/>
        <w:jc w:val="both"/>
        <w:rPr>
          <w:rFonts w:ascii="Verdana" w:hAnsi="Verdana"/>
          <w:sz w:val="20"/>
          <w:szCs w:val="20"/>
        </w:rPr>
      </w:pPr>
      <w:r>
        <w:rPr>
          <w:rFonts w:ascii="Verdana" w:hAnsi="Verdana"/>
          <w:sz w:val="20"/>
          <w:szCs w:val="20"/>
        </w:rPr>
      </w:r>
    </w:p>
    <w:p>
      <w:pPr>
        <w:pStyle w:val="ListParagraph"/>
        <w:numPr>
          <w:ilvl w:val="1"/>
          <w:numId w:val="2"/>
        </w:numPr>
        <w:spacing w:lineRule="auto" w:line="276" w:before="57" w:after="0"/>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before="57" w:after="0"/>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before="57" w:after="0"/>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before="57" w:after="0"/>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before="57" w:after="0"/>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before="57" w:after="0"/>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before="57" w:after="0"/>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before="57" w:after="0"/>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Normal"/>
        <w:snapToGrid w:val="false"/>
        <w:spacing w:lineRule="auto" w:line="276" w:before="57" w:after="0"/>
        <w:jc w:val="both"/>
        <w:rPr>
          <w:rFonts w:ascii="Verdana" w:hAnsi="Verdana"/>
          <w:sz w:val="20"/>
          <w:szCs w:val="20"/>
        </w:rPr>
      </w:pPr>
      <w:r>
        <w:rPr>
          <w:rFonts w:ascii="Verdana" w:hAnsi="Verdana"/>
          <w:sz w:val="20"/>
          <w:szCs w:val="20"/>
        </w:rPr>
      </w:r>
    </w:p>
    <w:p>
      <w:pPr>
        <w:pStyle w:val="ListParagraph"/>
        <w:numPr>
          <w:ilvl w:val="1"/>
          <w:numId w:val="2"/>
        </w:numPr>
        <w:spacing w:lineRule="auto" w:line="276" w:before="57" w:after="0"/>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20"/>
          <w:tab w:val="left" w:pos="850" w:leader="none"/>
        </w:tabs>
        <w:snapToGrid w:val="false"/>
        <w:spacing w:lineRule="auto" w:line="276" w:before="57" w:after="0"/>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20"/>
          <w:tab w:val="left" w:pos="850" w:leader="none"/>
        </w:tabs>
        <w:snapToGrid w:val="false"/>
        <w:spacing w:lineRule="auto" w:line="276" w:before="57" w:after="0"/>
        <w:ind w:hanging="0" w:left="0"/>
        <w:jc w:val="both"/>
        <w:rPr>
          <w:rFonts w:ascii="Verdana" w:hAnsi="Verdana"/>
          <w:sz w:val="20"/>
          <w:szCs w:val="20"/>
        </w:rPr>
      </w:pPr>
      <w:r>
        <w:rPr>
          <w:rStyle w:val="InternetLink1"/>
          <w:rFonts w:cs="Arial" w:ascii="Verdana" w:hAnsi="Verdana"/>
          <w:b/>
          <w:bCs/>
          <w:iCs/>
          <w:color w:val="auto"/>
          <w:sz w:val="20"/>
          <w:szCs w:val="20"/>
          <w:highlight w:val="yellow"/>
        </w:rPr>
        <w:t>CERTIDÃO EXPEDIDA PELA JUNTA COMERCIAL DA REGIÃO SEDE DA EMPRESA,</w:t>
      </w:r>
      <w:r>
        <w:rPr>
          <w:rStyle w:val="InternetLink1"/>
          <w:rFonts w:cs="Arial" w:ascii="Verdana" w:hAnsi="Verdana"/>
          <w:iCs/>
          <w:color w:val="auto"/>
          <w:sz w:val="20"/>
          <w:szCs w:val="20"/>
          <w:highlight w:val="yellow"/>
        </w:rPr>
        <w:t xml:space="preserve"> demonstrando a situação de enquadramento, </w:t>
      </w:r>
      <w:r>
        <w:rPr>
          <w:rStyle w:val="InternetLink1"/>
          <w:rFonts w:cs="Arial" w:ascii="Verdana" w:hAnsi="Verdana"/>
          <w:b/>
          <w:bCs/>
          <w:iCs/>
          <w:color w:val="auto"/>
          <w:sz w:val="20"/>
          <w:szCs w:val="20"/>
          <w:highlight w:val="yellow"/>
        </w:rPr>
        <w:t>emitida n</w:t>
      </w:r>
      <w:r>
        <w:rPr>
          <w:rStyle w:val="t286pc"/>
          <w:rFonts w:ascii="Verdana" w:hAnsi="Verdana"/>
          <w:b/>
          <w:bCs/>
          <w:sz w:val="20"/>
          <w:szCs w:val="20"/>
          <w:highlight w:val="yellow"/>
          <w:shd w:fill="FFFFFF" w:val="clear"/>
        </w:rPr>
        <w:t>os</w:t>
      </w:r>
      <w:r>
        <w:rPr>
          <w:rStyle w:val="t286pc"/>
          <w:rFonts w:ascii="Verdana" w:hAnsi="Verdana"/>
          <w:sz w:val="20"/>
          <w:szCs w:val="20"/>
          <w:highlight w:val="yellow"/>
          <w:shd w:fill="FFFFFF" w:val="clear"/>
        </w:rPr>
        <w:t xml:space="preserve"> </w:t>
      </w:r>
      <w:r>
        <w:rPr>
          <w:rStyle w:val="t286pc"/>
          <w:rFonts w:ascii="Verdana" w:hAnsi="Verdana"/>
          <w:b/>
          <w:bCs/>
          <w:sz w:val="20"/>
          <w:szCs w:val="20"/>
          <w:highlight w:val="yellow"/>
          <w:shd w:fill="FFFFFF" w:val="clear"/>
        </w:rPr>
        <w:t>90 (noventa)</w:t>
      </w:r>
      <w:r>
        <w:rPr>
          <w:rStyle w:val="t286pc"/>
          <w:rFonts w:ascii="Verdana" w:hAnsi="Verdana"/>
          <w:sz w:val="20"/>
          <w:szCs w:val="20"/>
          <w:highlight w:val="yellow"/>
          <w:shd w:fill="FFFFFF" w:val="clear"/>
        </w:rPr>
        <w:t xml:space="preserve"> dias anteriores à data da sessão pública (abertura da licitação)</w:t>
      </w:r>
      <w:r>
        <w:rPr>
          <w:rStyle w:val="t286pc"/>
          <w:rFonts w:ascii="Verdana" w:hAnsi="Verdana"/>
          <w:sz w:val="20"/>
          <w:szCs w:val="20"/>
          <w:shd w:fill="FFFFFF" w:val="clear"/>
        </w:rPr>
        <w:t>.</w:t>
      </w:r>
    </w:p>
    <w:p>
      <w:pPr>
        <w:pStyle w:val="Normal"/>
        <w:numPr>
          <w:ilvl w:val="2"/>
          <w:numId w:val="2"/>
        </w:numPr>
        <w:tabs>
          <w:tab w:val="clear" w:pos="720"/>
          <w:tab w:val="left" w:pos="850" w:leader="none"/>
        </w:tabs>
        <w:snapToGrid w:val="false"/>
        <w:spacing w:lineRule="auto" w:line="276" w:before="57" w:after="0"/>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20"/>
          <w:tab w:val="left" w:pos="850" w:leader="none"/>
        </w:tabs>
        <w:snapToGrid w:val="false"/>
        <w:spacing w:lineRule="auto" w:line="276" w:before="57" w:after="0"/>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20"/>
          <w:tab w:val="left" w:pos="850" w:leader="none"/>
        </w:tabs>
        <w:snapToGrid w:val="false"/>
        <w:spacing w:lineRule="auto" w:line="276" w:before="57" w:after="0"/>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20"/>
          <w:tab w:val="left" w:pos="850" w:leader="none"/>
        </w:tabs>
        <w:snapToGrid w:val="false"/>
        <w:spacing w:lineRule="auto" w:line="276" w:before="57" w:after="0"/>
        <w:jc w:val="both"/>
        <w:rPr>
          <w:rFonts w:ascii="Verdana" w:hAnsi="Verdana"/>
          <w:sz w:val="20"/>
          <w:szCs w:val="20"/>
        </w:rPr>
      </w:pPr>
      <w:r>
        <w:rPr>
          <w:rFonts w:ascii="Verdana" w:hAnsi="Verdana"/>
          <w:sz w:val="20"/>
          <w:szCs w:val="20"/>
        </w:rPr>
      </w:r>
    </w:p>
    <w:p>
      <w:pPr>
        <w:pStyle w:val="ListParagraph"/>
        <w:numPr>
          <w:ilvl w:val="1"/>
          <w:numId w:val="2"/>
        </w:numPr>
        <w:spacing w:lineRule="auto" w:line="276" w:before="57" w:after="0"/>
        <w:ind w:hanging="0" w:lef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20"/>
          <w:tab w:val="left" w:pos="850" w:leader="none"/>
        </w:tabs>
        <w:snapToGrid w:val="false"/>
        <w:spacing w:lineRule="auto" w:line="276" w:before="57" w:after="0"/>
        <w:jc w:val="both"/>
        <w:rPr>
          <w:rFonts w:ascii="Verdana" w:hAnsi="Verdana"/>
          <w:sz w:val="20"/>
          <w:szCs w:val="20"/>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ListParagraph"/>
        <w:tabs>
          <w:tab w:val="clear" w:pos="720"/>
          <w:tab w:val="left" w:pos="4305" w:leader="none"/>
        </w:tabs>
        <w:spacing w:lineRule="auto" w:line="276" w:before="57" w:after="0"/>
        <w:ind w:left="0"/>
        <w:contextualSpacing w:val="false"/>
        <w:jc w:val="both"/>
        <w:rPr>
          <w:rFonts w:ascii="Verdana" w:hAnsi="Verdana"/>
          <w:sz w:val="20"/>
          <w:szCs w:val="20"/>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2"/>
          <w:numId w:val="4"/>
        </w:numPr>
        <w:snapToGrid w:val="false"/>
        <w:spacing w:lineRule="auto" w:line="276" w:before="57" w:after="0"/>
        <w:ind w:hanging="0" w:lef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2"/>
          <w:numId w:val="4"/>
        </w:numPr>
        <w:snapToGrid w:val="false"/>
        <w:spacing w:lineRule="auto" w:line="276" w:before="57" w:after="0"/>
        <w:ind w:hanging="0" w:lef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4"/>
        </w:numPr>
        <w:snapToGrid w:val="false"/>
        <w:spacing w:lineRule="auto" w:line="276" w:before="57" w:after="0"/>
        <w:ind w:hanging="0" w:left="0"/>
        <w:contextualSpacing w:val="false"/>
        <w:jc w:val="both"/>
        <w:rPr>
          <w:rFonts w:ascii="Verdana" w:hAnsi="Verdana"/>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2"/>
          <w:numId w:val="4"/>
        </w:numPr>
        <w:snapToGrid w:val="false"/>
        <w:spacing w:lineRule="auto" w:line="276" w:before="57" w:after="0"/>
        <w:ind w:hanging="0" w:left="0"/>
        <w:contextualSpacing w:val="false"/>
        <w:jc w:val="both"/>
        <w:rPr>
          <w:rFonts w:ascii="Verdana" w:hAnsi="Verdana"/>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2"/>
          <w:numId w:val="4"/>
        </w:numPr>
        <w:snapToGrid w:val="false"/>
        <w:spacing w:lineRule="auto" w:line="276" w:before="57" w:after="0"/>
        <w:ind w:hanging="0" w:left="0"/>
        <w:contextualSpacing w:val="false"/>
        <w:jc w:val="both"/>
        <w:rPr>
          <w:rFonts w:ascii="Verdana" w:hAnsi="Verdana"/>
          <w:sz w:val="20"/>
          <w:szCs w:val="20"/>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2"/>
          <w:numId w:val="4"/>
        </w:numPr>
        <w:snapToGrid w:val="false"/>
        <w:spacing w:lineRule="auto" w:line="276" w:before="57" w:after="0"/>
        <w:ind w:hanging="0" w:left="0"/>
        <w:contextualSpacing w:val="false"/>
        <w:jc w:val="both"/>
        <w:rPr>
          <w:rFonts w:ascii="Verdana" w:hAnsi="Verdana"/>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2"/>
          <w:numId w:val="4"/>
        </w:numPr>
        <w:tabs>
          <w:tab w:val="clear" w:pos="720"/>
          <w:tab w:val="left" w:pos="900" w:leader="none"/>
        </w:tabs>
        <w:snapToGrid w:val="false"/>
        <w:spacing w:lineRule="auto" w:line="276" w:before="57" w:after="0"/>
        <w:ind w:hanging="0" w:left="0"/>
        <w:contextualSpacing w:val="false"/>
        <w:jc w:val="both"/>
        <w:rPr>
          <w:rFonts w:ascii="Verdana" w:hAnsi="Verdana"/>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2"/>
          <w:numId w:val="4"/>
        </w:numPr>
        <w:tabs>
          <w:tab w:val="clear" w:pos="720"/>
          <w:tab w:val="left" w:pos="900" w:leader="none"/>
        </w:tabs>
        <w:snapToGrid w:val="false"/>
        <w:spacing w:lineRule="auto" w:line="276" w:before="57" w:after="0"/>
        <w:ind w:hanging="0" w:left="0"/>
        <w:contextualSpacing w:val="false"/>
        <w:jc w:val="both"/>
        <w:rPr>
          <w:rFonts w:ascii="Verdana" w:hAnsi="Verdana"/>
          <w:sz w:val="20"/>
          <w:szCs w:val="20"/>
        </w:rPr>
      </w:pPr>
      <w:r>
        <w:rPr>
          <w:rFonts w:cs="Arial" w:ascii="Verdana" w:hAnsi="Verdana"/>
          <w:color w:val="000000"/>
          <w:sz w:val="20"/>
          <w:szCs w:val="20"/>
        </w:rPr>
        <w:t>Constatado o atendimento às exigências de habilitação fixadas no Edital, o licitante será declarado vencedor.</w:t>
      </w:r>
    </w:p>
    <w:p>
      <w:pPr>
        <w:pStyle w:val="Normal"/>
        <w:spacing w:lineRule="auto" w:line="276"/>
        <w:rPr>
          <w:rFonts w:ascii="Verdana" w:hAnsi="Verdana"/>
          <w:sz w:val="20"/>
          <w:szCs w:val="20"/>
        </w:rPr>
      </w:pPr>
      <w:r>
        <w:rPr>
          <w:rFonts w:ascii="Verdana" w:hAnsi="Verdana"/>
          <w:sz w:val="20"/>
          <w:szCs w:val="20"/>
        </w:rPr>
      </w:r>
    </w:p>
    <w:p>
      <w:pPr>
        <w:pStyle w:val="Nivel01"/>
        <w:numPr>
          <w:ilvl w:val="0"/>
          <w:numId w:val="4"/>
        </w:numPr>
        <w:spacing w:lineRule="auto" w:line="276" w:before="57" w:after="0"/>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tabs>
          <w:tab w:val="clear" w:pos="720"/>
          <w:tab w:val="left" w:pos="617" w:leader="none"/>
        </w:tabs>
        <w:spacing w:lineRule="auto" w:line="276" w:before="57" w:after="0"/>
        <w:ind w:left="0"/>
        <w:contextualSpacing w:val="false"/>
        <w:jc w:val="both"/>
        <w:rPr>
          <w:rFonts w:ascii="Verdana" w:hAnsi="Verdana"/>
          <w:sz w:val="20"/>
          <w:szCs w:val="20"/>
        </w:rPr>
      </w:pPr>
      <w:r>
        <w:rPr>
          <w:rFonts w:cs="Arial" w:ascii="Verdana" w:hAnsi="Verdana"/>
          <w:iCs/>
          <w:sz w:val="20"/>
          <w:szCs w:val="20"/>
        </w:rPr>
        <w:t>10.1 A proposta final do licitante declarado vencedor deverá ser encaminhada no prazo de 02</w:t>
      </w:r>
      <w:r>
        <w:rPr>
          <w:rFonts w:cs="Arial" w:ascii="Verdana" w:hAnsi="Verdana"/>
          <w:bCs/>
          <w:iCs/>
          <w:sz w:val="20"/>
          <w:szCs w:val="20"/>
        </w:rPr>
        <w:t xml:space="preserve"> (duas) horas prorrogáveis por igual período devidamente justificado</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tabs>
          <w:tab w:val="clear" w:pos="720"/>
          <w:tab w:val="left" w:pos="617" w:leader="none"/>
          <w:tab w:val="left" w:pos="900" w:leader="none"/>
        </w:tabs>
        <w:spacing w:lineRule="auto" w:line="276" w:before="57" w:after="0"/>
        <w:jc w:val="both"/>
        <w:rPr>
          <w:rFonts w:ascii="Verdana" w:hAnsi="Verdana" w:cs="Arial"/>
          <w:iCs/>
          <w:sz w:val="20"/>
          <w:szCs w:val="20"/>
        </w:rPr>
      </w:pPr>
      <w:r>
        <w:rPr>
          <w:rFonts w:cs="Arial" w:ascii="Verdana" w:hAnsi="Verdana"/>
          <w:iCs/>
          <w:sz w:val="20"/>
          <w:szCs w:val="20"/>
        </w:rPr>
        <w:t>10.1.1 Ser redigida em língua portuguesa, datilografada ou digitada, em uma via, sem emendas, rasuras, entrelinhas ou ressalvas, devendo a última folha ser assinada e as demais rubricadas pelo licitante ou seu representante legal;</w:t>
      </w:r>
    </w:p>
    <w:p>
      <w:pPr>
        <w:pStyle w:val="Normal"/>
        <w:tabs>
          <w:tab w:val="clear" w:pos="720"/>
          <w:tab w:val="left" w:pos="617" w:leader="none"/>
          <w:tab w:val="left" w:pos="900" w:leader="none"/>
        </w:tabs>
        <w:spacing w:lineRule="auto" w:line="276" w:before="57" w:after="0"/>
        <w:jc w:val="both"/>
        <w:rPr>
          <w:rFonts w:ascii="Verdana" w:hAnsi="Verdana" w:cs="Arial"/>
          <w:b/>
          <w:bCs/>
          <w:sz w:val="20"/>
          <w:szCs w:val="20"/>
        </w:rPr>
      </w:pPr>
      <w:r>
        <w:rPr>
          <w:rFonts w:cs="Arial" w:ascii="Verdana" w:hAnsi="Verdana"/>
          <w:sz w:val="20"/>
          <w:szCs w:val="20"/>
        </w:rPr>
        <w:t xml:space="preserve">10.1.2 </w:t>
      </w:r>
      <w:r>
        <w:rPr>
          <w:rFonts w:cs="Arial" w:ascii="Verdana" w:hAnsi="Verdana"/>
          <w:b/>
          <w:bCs/>
          <w:sz w:val="20"/>
          <w:szCs w:val="20"/>
        </w:rPr>
        <w:t xml:space="preserve">Enviar o </w:t>
      </w:r>
      <w:r>
        <w:rPr>
          <w:rStyle w:val="Strong"/>
          <w:rFonts w:cs="Google Sans" w:ascii="Verdana" w:hAnsi="Verdana"/>
          <w:sz w:val="20"/>
          <w:szCs w:val="20"/>
        </w:rPr>
        <w:t>prospecto técnico (folder, catálogo, ficha técnica)</w:t>
      </w:r>
      <w:r>
        <w:rPr>
          <w:rFonts w:cs="Arial" w:ascii="Verdana" w:hAnsi="Verdana"/>
          <w:b/>
          <w:bCs/>
          <w:sz w:val="20"/>
          <w:szCs w:val="20"/>
        </w:rPr>
        <w:t xml:space="preserve"> do produto ofertado para a aprovação da área técnica;</w:t>
      </w:r>
    </w:p>
    <w:p>
      <w:pPr>
        <w:pStyle w:val="Normal"/>
        <w:tabs>
          <w:tab w:val="clear" w:pos="720"/>
          <w:tab w:val="left" w:pos="617" w:leader="none"/>
          <w:tab w:val="left" w:pos="900" w:leader="none"/>
        </w:tabs>
        <w:spacing w:lineRule="auto" w:line="276" w:before="57" w:after="0"/>
        <w:jc w:val="both"/>
        <w:rPr>
          <w:rFonts w:ascii="Verdana" w:hAnsi="Verdana" w:cs="Arial"/>
          <w:sz w:val="20"/>
          <w:szCs w:val="20"/>
        </w:rPr>
      </w:pPr>
      <w:r>
        <w:rPr>
          <w:rFonts w:cs="Arial" w:ascii="Verdana" w:hAnsi="Verdana"/>
          <w:sz w:val="20"/>
          <w:szCs w:val="20"/>
        </w:rPr>
        <w:t>10.1.3</w:t>
      </w:r>
      <w:r>
        <w:rPr>
          <w:rFonts w:cs="Arial" w:ascii="Verdana" w:hAnsi="Verdana"/>
          <w:b/>
          <w:bCs/>
          <w:sz w:val="20"/>
          <w:szCs w:val="20"/>
        </w:rPr>
        <w:t xml:space="preserve"> </w:t>
      </w:r>
      <w:r>
        <w:rPr>
          <w:rFonts w:cs="Arial" w:ascii="Verdana" w:hAnsi="Verdana"/>
          <w:sz w:val="20"/>
          <w:szCs w:val="20"/>
        </w:rPr>
        <w:t>O envio deverá ser realizado na Plataforma de Gerenciamento do Pregão (Portal de Compras Públicas), após a solicitação do Pregoeiro Oficial/Agente de Contratação, no prazo estipulado no item 10.1. este que posteriormente encaminhará o prospecto para análise da área técnica da Secretaria Municipal de Saúde.</w:t>
      </w:r>
    </w:p>
    <w:p>
      <w:pPr>
        <w:pStyle w:val="Normal"/>
        <w:tabs>
          <w:tab w:val="clear" w:pos="720"/>
          <w:tab w:val="left" w:pos="617" w:leader="none"/>
          <w:tab w:val="left" w:pos="900" w:leader="none"/>
        </w:tabs>
        <w:spacing w:lineRule="auto" w:line="276" w:before="57" w:after="0"/>
        <w:jc w:val="both"/>
        <w:rPr>
          <w:rFonts w:ascii="Verdana" w:hAnsi="Verdana" w:cs="Arial"/>
          <w:sz w:val="20"/>
          <w:szCs w:val="20"/>
        </w:rPr>
      </w:pPr>
      <w:r>
        <w:rPr>
          <w:rFonts w:cs="Arial" w:ascii="Verdana" w:hAnsi="Verdana"/>
          <w:sz w:val="20"/>
          <w:szCs w:val="20"/>
        </w:rPr>
        <w:t>10.1.4 O prospecto técnico deverá conter todas as especificações (marca e modelo) detalhadas do produto, comprovando que este atende rigorosamente aos requisitos mínimos exigidos nos itens.</w:t>
      </w:r>
    </w:p>
    <w:p>
      <w:pPr>
        <w:pStyle w:val="Normal"/>
        <w:spacing w:lineRule="auto" w:line="276"/>
        <w:jc w:val="both"/>
        <w:rPr>
          <w:rFonts w:ascii="Verdana" w:hAnsi="Verdana" w:cs="Arial"/>
          <w:sz w:val="20"/>
          <w:szCs w:val="20"/>
        </w:rPr>
      </w:pPr>
      <w:r>
        <w:rPr>
          <w:rFonts w:cs="Arial" w:ascii="Verdana" w:hAnsi="Verdana"/>
          <w:sz w:val="20"/>
          <w:szCs w:val="20"/>
        </w:rPr>
        <w:t>10.1.5 Caso o produto apresentado no prospecto não atenda às especificações, ou o documento não seja enviado no prazo estipulado no item 10.1, a empresa será desclassificada, e a equipe de contratação convocará o licitante subsequente, sem prejuízo das sanções previstas em edital.</w:t>
      </w:r>
    </w:p>
    <w:p>
      <w:pPr>
        <w:pStyle w:val="Normal"/>
        <w:tabs>
          <w:tab w:val="clear" w:pos="720"/>
          <w:tab w:val="left" w:pos="617" w:leader="none"/>
          <w:tab w:val="left" w:pos="900" w:leader="none"/>
        </w:tabs>
        <w:spacing w:lineRule="auto" w:line="276" w:before="57" w:after="0"/>
        <w:jc w:val="both"/>
        <w:rPr>
          <w:rFonts w:ascii="Verdana" w:hAnsi="Verdana"/>
          <w:sz w:val="20"/>
          <w:szCs w:val="20"/>
        </w:rPr>
      </w:pPr>
      <w:r>
        <w:rPr>
          <w:rFonts w:cs="Arial" w:ascii="Verdana" w:hAnsi="Verdana"/>
          <w:iCs/>
          <w:sz w:val="20"/>
          <w:szCs w:val="20"/>
        </w:rPr>
        <w:t>10.1.6 Caso solicitado deverá apresentar a planilha de custos e formação de preços, devidamente ajustada ao lance vencedor, em conformidade com o modelo anexo a este instrumento convocatório.</w:t>
      </w:r>
    </w:p>
    <w:p>
      <w:pPr>
        <w:pStyle w:val="Normal"/>
        <w:tabs>
          <w:tab w:val="clear" w:pos="720"/>
          <w:tab w:val="left" w:pos="617" w:leader="none"/>
          <w:tab w:val="left" w:pos="900" w:leader="none"/>
        </w:tabs>
        <w:spacing w:lineRule="auto" w:line="276" w:before="57" w:after="0"/>
        <w:jc w:val="both"/>
        <w:rPr>
          <w:rFonts w:ascii="Verdana" w:hAnsi="Verdana"/>
          <w:sz w:val="20"/>
          <w:szCs w:val="20"/>
        </w:rPr>
      </w:pPr>
      <w:r>
        <w:rPr>
          <w:rFonts w:cs="Arial" w:ascii="Verdana" w:hAnsi="Verdana"/>
          <w:iCs/>
          <w:sz w:val="20"/>
          <w:szCs w:val="20"/>
        </w:rPr>
        <w:t>10.1.7 Conter a indicação do banco, número da conta e agência do licitante vencedor, para fins de pagamento.</w:t>
      </w:r>
    </w:p>
    <w:p>
      <w:pPr>
        <w:pStyle w:val="ListParagraph"/>
        <w:spacing w:lineRule="auto" w:line="276" w:before="57" w:after="0"/>
        <w:ind w:left="0"/>
        <w:contextualSpacing w:val="false"/>
        <w:jc w:val="both"/>
        <w:rPr>
          <w:rFonts w:ascii="Verdana" w:hAnsi="Verdana"/>
          <w:sz w:val="20"/>
          <w:szCs w:val="20"/>
        </w:rPr>
      </w:pPr>
      <w:r>
        <w:rPr>
          <w:rFonts w:cs="Arial" w:ascii="Verdana" w:hAnsi="Verdana"/>
          <w:iCs/>
          <w:sz w:val="20"/>
          <w:szCs w:val="20"/>
        </w:rPr>
        <w:t>10.2 A proposta final deverá ser documentada nos autos e será levada em consideração no decorrer da execução do contrato e aplicação de eventual sanção à Contratada, se for o caso.</w:t>
      </w:r>
    </w:p>
    <w:p>
      <w:pPr>
        <w:pStyle w:val="Normal"/>
        <w:tabs>
          <w:tab w:val="clear" w:pos="720"/>
          <w:tab w:val="left" w:pos="850" w:leader="none"/>
        </w:tabs>
        <w:spacing w:lineRule="auto" w:line="276" w:before="57" w:after="0"/>
        <w:jc w:val="both"/>
        <w:rPr>
          <w:rFonts w:ascii="Verdana" w:hAnsi="Verdana"/>
          <w:sz w:val="20"/>
          <w:szCs w:val="20"/>
        </w:rPr>
      </w:pPr>
      <w:r>
        <w:rPr>
          <w:rFonts w:cs="Arial" w:ascii="Verdana" w:hAnsi="Verdana"/>
          <w:iCs/>
          <w:sz w:val="20"/>
          <w:szCs w:val="20"/>
        </w:rPr>
        <w:t>10.2.1 Todas as especificações do objeto contidas na proposta, tais como marca, modelo, tipo, fabricante e procedência, vinculam a Contratada.</w:t>
      </w:r>
    </w:p>
    <w:p>
      <w:pPr>
        <w:pStyle w:val="ListParagraph"/>
        <w:spacing w:lineRule="auto" w:line="276" w:before="57" w:after="0"/>
        <w:ind w:left="0"/>
        <w:contextualSpacing w:val="false"/>
        <w:jc w:val="both"/>
        <w:rPr>
          <w:rFonts w:ascii="Verdana" w:hAnsi="Verdana"/>
          <w:sz w:val="20"/>
          <w:szCs w:val="20"/>
        </w:rPr>
      </w:pPr>
      <w:r>
        <w:rPr>
          <w:rFonts w:cs="Arial" w:ascii="Verdana" w:hAnsi="Verdana"/>
          <w:sz w:val="20"/>
          <w:szCs w:val="20"/>
        </w:rPr>
        <w:t>10.3 Os preços deverão ser expressos em moeda corrente nacional, o valor unitário em algarismos e o valor global em algarismos e por extenso.</w:t>
      </w:r>
    </w:p>
    <w:p>
      <w:pPr>
        <w:pStyle w:val="Normal"/>
        <w:tabs>
          <w:tab w:val="clear" w:pos="720"/>
          <w:tab w:val="left" w:pos="850" w:leader="none"/>
        </w:tabs>
        <w:spacing w:lineRule="auto" w:line="276" w:before="57" w:after="0"/>
        <w:jc w:val="both"/>
        <w:rPr>
          <w:rFonts w:ascii="Verdana" w:hAnsi="Verdana"/>
          <w:sz w:val="20"/>
          <w:szCs w:val="20"/>
        </w:rPr>
      </w:pPr>
      <w:r>
        <w:rPr>
          <w:rFonts w:cs="Arial" w:ascii="Verdana" w:hAnsi="Verdana"/>
          <w:sz w:val="20"/>
          <w:szCs w:val="20"/>
        </w:rPr>
        <w:t>10.3.1 Ocorrendo divergência entre os preços unitários e o preço global, prevalecerão os primeiros; no caso de divergência entre os valores numéricos e os valores expressos por extenso, prevalecerão estes últimos.</w:t>
      </w:r>
    </w:p>
    <w:p>
      <w:pPr>
        <w:pStyle w:val="ListParagraph"/>
        <w:spacing w:lineRule="auto" w:line="276" w:before="57" w:after="0"/>
        <w:ind w:left="0"/>
        <w:contextualSpacing w:val="false"/>
        <w:jc w:val="both"/>
        <w:rPr>
          <w:rFonts w:ascii="Verdana" w:hAnsi="Verdana"/>
          <w:sz w:val="20"/>
          <w:szCs w:val="20"/>
        </w:rPr>
      </w:pPr>
      <w:r>
        <w:rPr>
          <w:rFonts w:cs="Arial" w:ascii="Verdana" w:hAnsi="Verdana"/>
          <w:sz w:val="20"/>
          <w:szCs w:val="20"/>
        </w:rPr>
        <w:t>10.4 A oferta deverá ser firme e precisa, limitada, rigorosamente, ao objeto deste Edital, sem conter alternativas de preço ou de qualquer outra condição que induza o julgamento a mais de um resultado, sob pena de desclassificação.</w:t>
      </w:r>
    </w:p>
    <w:p>
      <w:pPr>
        <w:pStyle w:val="ListParagraph"/>
        <w:spacing w:lineRule="auto" w:line="276" w:before="57" w:after="0"/>
        <w:ind w:left="0"/>
        <w:contextualSpacing w:val="false"/>
        <w:jc w:val="both"/>
        <w:rPr>
          <w:rFonts w:ascii="Verdana" w:hAnsi="Verdana"/>
          <w:sz w:val="20"/>
          <w:szCs w:val="20"/>
        </w:rPr>
      </w:pPr>
      <w:r>
        <w:rPr>
          <w:rFonts w:cs="Arial" w:ascii="Verdana" w:hAnsi="Verdana"/>
          <w:sz w:val="20"/>
          <w:szCs w:val="20"/>
        </w:rPr>
        <w:t>10.5 A proposta deverá obedecer aos termos deste Edital e seus Anexos, não sendo considerada aquela que não corresponda às especificações ali contidas ou que estabeleça vínculo à proposta de outro licitante.</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rPr>
        <w:t>10.6 As propostas que contenham a descrição do objeto, o valor e os documentos complementares estarão disponíveis na internet, após a homologação.</w:t>
      </w:r>
    </w:p>
    <w:p>
      <w:pPr>
        <w:pStyle w:val="Normal"/>
        <w:spacing w:lineRule="auto" w:line="276"/>
        <w:rPr>
          <w:rFonts w:ascii="Verdana" w:hAnsi="Verdana"/>
          <w:sz w:val="20"/>
          <w:szCs w:val="20"/>
        </w:rPr>
      </w:pPr>
      <w:r>
        <w:rPr>
          <w:rFonts w:ascii="Verdana" w:hAnsi="Verdana"/>
          <w:sz w:val="20"/>
          <w:szCs w:val="20"/>
        </w:rPr>
      </w:r>
    </w:p>
    <w:p>
      <w:pPr>
        <w:pStyle w:val="Nivel01"/>
        <w:numPr>
          <w:ilvl w:val="0"/>
          <w:numId w:val="4"/>
        </w:numPr>
        <w:spacing w:lineRule="auto" w:line="276" w:before="57" w:after="0"/>
        <w:ind w:hanging="0" w:left="0"/>
        <w:rPr>
          <w:rFonts w:ascii="Verdana" w:hAnsi="Verdana"/>
        </w:rPr>
      </w:pPr>
      <w:r>
        <w:rPr>
          <w:rFonts w:cs="Arial" w:ascii="Verdana" w:hAnsi="Verdana"/>
          <w:lang w:eastAsia="en-US"/>
        </w:rPr>
        <w:t>DOS RECURSOS</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11.1 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rPr>
        <w:t>11.2 Havendo quem se manifeste, caberá ao Pregoeiro verificar a tempestividade e a existência de motivação da intenção de recorrer, para decidir se admite ou não o recurso, fundamentadamente.</w:t>
      </w:r>
    </w:p>
    <w:p>
      <w:pPr>
        <w:pStyle w:val="Normal"/>
        <w:tabs>
          <w:tab w:val="clear" w:pos="720"/>
          <w:tab w:val="left" w:pos="850" w:leader="none"/>
        </w:tabs>
        <w:snapToGrid w:val="false"/>
        <w:spacing w:lineRule="auto" w:line="276" w:before="57" w:after="0"/>
        <w:jc w:val="both"/>
        <w:rPr>
          <w:rFonts w:ascii="Verdana" w:hAnsi="Verdana"/>
          <w:sz w:val="20"/>
          <w:szCs w:val="20"/>
        </w:rPr>
      </w:pPr>
      <w:r>
        <w:rPr>
          <w:rFonts w:cs="Arial" w:ascii="Verdana" w:hAnsi="Verdana"/>
          <w:color w:val="000000"/>
          <w:sz w:val="20"/>
          <w:szCs w:val="20"/>
        </w:rPr>
        <w:t>11.2.1 Nesse momento o Pregoeiro não adentrará no mérito recursal, mas apenas verificará as condições de admissibilidade do recurso.</w:t>
      </w:r>
    </w:p>
    <w:p>
      <w:pPr>
        <w:pStyle w:val="Normal"/>
        <w:tabs>
          <w:tab w:val="clear" w:pos="720"/>
          <w:tab w:val="left" w:pos="850" w:leader="none"/>
        </w:tabs>
        <w:snapToGrid w:val="false"/>
        <w:spacing w:lineRule="auto" w:line="276" w:before="57" w:after="0"/>
        <w:jc w:val="both"/>
        <w:rPr>
          <w:rFonts w:ascii="Verdana" w:hAnsi="Verdana"/>
          <w:sz w:val="20"/>
          <w:szCs w:val="20"/>
        </w:rPr>
      </w:pPr>
      <w:r>
        <w:rPr>
          <w:rFonts w:cs="Arial" w:ascii="Verdana" w:hAnsi="Verdana"/>
          <w:sz w:val="20"/>
          <w:szCs w:val="20"/>
        </w:rPr>
        <w:t>11.2.2 A falta de manifestação motivada do licitante quanto à intenção de recorrer importará a decadência desse direito.</w:t>
      </w:r>
    </w:p>
    <w:p>
      <w:pPr>
        <w:pStyle w:val="Normal"/>
        <w:tabs>
          <w:tab w:val="clear" w:pos="720"/>
          <w:tab w:val="left" w:pos="850" w:leader="none"/>
        </w:tabs>
        <w:snapToGrid w:val="false"/>
        <w:spacing w:lineRule="auto" w:line="276" w:before="57" w:after="0"/>
        <w:jc w:val="both"/>
        <w:rPr>
          <w:rFonts w:ascii="Verdana" w:hAnsi="Verdana"/>
          <w:sz w:val="20"/>
          <w:szCs w:val="20"/>
        </w:rPr>
      </w:pPr>
      <w:r>
        <w:rPr>
          <w:rFonts w:cs="Arial" w:ascii="Verdana" w:hAnsi="Verdana"/>
          <w:sz w:val="20"/>
          <w:szCs w:val="20"/>
        </w:rPr>
        <w:t xml:space="preserve">11.2.3 Uma vez admitido </w:t>
      </w:r>
      <w:r>
        <w:rPr>
          <w:rFonts w:cs="Arial" w:ascii="Verdana" w:hAnsi="Verdana"/>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rPr>
        <w:t>11.4 O acolhimento do recurso invalida tão somente os atos insuscetíveis de aproveitamento.</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rPr>
        <w:t>11.5 Os autos do processo permanecerão com vista franqueada aos interessados, no endereço constante neste Edital.</w:t>
      </w:r>
    </w:p>
    <w:p>
      <w:pPr>
        <w:pStyle w:val="Normal"/>
        <w:spacing w:lineRule="auto" w:line="276"/>
        <w:rPr>
          <w:rFonts w:ascii="Verdana" w:hAnsi="Verdana"/>
          <w:sz w:val="20"/>
          <w:szCs w:val="20"/>
        </w:rPr>
      </w:pPr>
      <w:r>
        <w:rPr>
          <w:rFonts w:ascii="Verdana" w:hAnsi="Verdana"/>
          <w:sz w:val="20"/>
          <w:szCs w:val="20"/>
        </w:rPr>
      </w:r>
    </w:p>
    <w:p>
      <w:pPr>
        <w:pStyle w:val="Nivel01"/>
        <w:numPr>
          <w:ilvl w:val="0"/>
          <w:numId w:val="4"/>
        </w:numPr>
        <w:spacing w:lineRule="auto" w:line="276" w:before="57" w:after="0"/>
        <w:ind w:hanging="0" w:left="0"/>
        <w:rPr>
          <w:rFonts w:ascii="Verdana" w:hAnsi="Verdana"/>
        </w:rPr>
      </w:pPr>
      <w:r>
        <w:rPr>
          <w:rFonts w:cs="Arial" w:ascii="Verdana" w:hAnsi="Verdana"/>
          <w:lang w:eastAsia="en-US"/>
        </w:rPr>
        <w:t>DA REABERTURA DA SESSÃO PÚBLICA</w:t>
      </w:r>
    </w:p>
    <w:p>
      <w:pPr>
        <w:pStyle w:val="Nivel01"/>
        <w:keepNext w:val="false"/>
        <w:keepLines w:val="false"/>
        <w:spacing w:lineRule="auto" w:line="276" w:before="57" w:after="0"/>
        <w:rPr>
          <w:rFonts w:ascii="Verdana" w:hAnsi="Verdana"/>
        </w:rPr>
      </w:pPr>
      <w:r>
        <w:rPr>
          <w:rFonts w:cs="Arial" w:ascii="Verdana" w:hAnsi="Verdana"/>
          <w:b w:val="false"/>
          <w:bCs w:val="false"/>
          <w:color w:val="auto"/>
        </w:rPr>
        <w:t>12.1 A sessão pública poderá ser reaberta:</w:t>
      </w:r>
    </w:p>
    <w:p>
      <w:pPr>
        <w:pStyle w:val="Nivel01"/>
        <w:keepNext w:val="false"/>
        <w:keepLines w:val="false"/>
        <w:tabs>
          <w:tab w:val="left" w:pos="567" w:leader="none"/>
          <w:tab w:val="left" w:pos="850" w:leader="none"/>
        </w:tabs>
        <w:spacing w:lineRule="auto" w:line="276" w:before="57" w:after="0"/>
        <w:rPr>
          <w:rFonts w:ascii="Verdana" w:hAnsi="Verdana"/>
        </w:rPr>
      </w:pPr>
      <w:r>
        <w:rPr>
          <w:rFonts w:cs="Arial" w:ascii="Verdana" w:hAnsi="Verdana"/>
          <w:b w:val="false"/>
          <w:bCs w:val="false"/>
          <w:color w:val="auto"/>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tabs>
          <w:tab w:val="left" w:pos="567" w:leader="none"/>
          <w:tab w:val="left" w:pos="850" w:leader="none"/>
        </w:tabs>
        <w:spacing w:lineRule="auto" w:line="276" w:before="57" w:after="0"/>
        <w:rPr>
          <w:rFonts w:ascii="Verdana" w:hAnsi="Verdana"/>
        </w:rPr>
      </w:pPr>
      <w:r>
        <w:rPr>
          <w:rFonts w:cs="Arial" w:ascii="Verdana" w:hAnsi="Verdana"/>
          <w:b w:val="false"/>
          <w:bCs w:val="false"/>
          <w:color w:val="auto"/>
        </w:rPr>
        <w:t xml:space="preserve">12.1.2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spacing w:lineRule="auto" w:line="276" w:before="57" w:after="0"/>
        <w:rPr>
          <w:rFonts w:ascii="Verdana" w:hAnsi="Verdana"/>
        </w:rPr>
      </w:pPr>
      <w:r>
        <w:rPr>
          <w:rFonts w:cs="Arial" w:ascii="Verdana" w:hAnsi="Verdana"/>
          <w:b w:val="false"/>
          <w:bCs w:val="false"/>
          <w:color w:val="auto"/>
        </w:rPr>
        <w:t>12.2 Todos os licitantes remanescentes deverão ser convocados para acompanhar a sessão reaberta.</w:t>
      </w:r>
    </w:p>
    <w:p>
      <w:pPr>
        <w:pStyle w:val="Nivel01"/>
        <w:keepNext w:val="false"/>
        <w:keepLines w:val="false"/>
        <w:tabs>
          <w:tab w:val="left" w:pos="567" w:leader="none"/>
          <w:tab w:val="left" w:pos="850" w:leader="none"/>
        </w:tabs>
        <w:spacing w:lineRule="auto" w:line="276" w:before="57" w:after="0"/>
        <w:rPr>
          <w:rFonts w:ascii="Verdana" w:hAnsi="Verdana"/>
        </w:rPr>
      </w:pPr>
      <w:r>
        <w:rPr>
          <w:rFonts w:cs="Arial" w:ascii="Verdana" w:hAnsi="Verdana"/>
          <w:b w:val="false"/>
          <w:bCs w:val="false"/>
          <w:color w:val="auto"/>
        </w:rPr>
        <w:t>12.2.1 A convocação se dará por meio do sistema eletrônico (“chat”), e-mail, de acordo com a fase do procedimento licitatório.</w:t>
      </w:r>
    </w:p>
    <w:p>
      <w:pPr>
        <w:pStyle w:val="Nivel01"/>
        <w:tabs>
          <w:tab w:val="left" w:pos="567" w:leader="none"/>
          <w:tab w:val="left" w:pos="850" w:leader="none"/>
        </w:tabs>
        <w:spacing w:lineRule="auto" w:line="276" w:before="57" w:after="0"/>
        <w:rPr>
          <w:rFonts w:ascii="Verdana" w:hAnsi="Verdana"/>
        </w:rPr>
      </w:pPr>
      <w:r>
        <w:rPr>
          <w:rFonts w:cs="Arial" w:ascii="Verdana" w:hAnsi="Verdana"/>
          <w:b w:val="false"/>
          <w:bCs w:val="false"/>
          <w:color w:val="auto"/>
        </w:rPr>
        <w:t>12.2.2 A convocação feita por e-mail dar-se-á de acordo com os dados contidos no SICAF, sendo responsabilidade do licitante manter seus dados cadastrais atualizados.</w:t>
      </w:r>
    </w:p>
    <w:p>
      <w:pPr>
        <w:pStyle w:val="Normal"/>
        <w:spacing w:lineRule="auto" w:line="276"/>
        <w:rPr>
          <w:rFonts w:ascii="Verdana" w:hAnsi="Verdana"/>
          <w:sz w:val="20"/>
          <w:szCs w:val="20"/>
        </w:rPr>
      </w:pPr>
      <w:r>
        <w:rPr>
          <w:rFonts w:ascii="Verdana" w:hAnsi="Verdana"/>
          <w:sz w:val="20"/>
          <w:szCs w:val="20"/>
        </w:rPr>
      </w:r>
    </w:p>
    <w:p>
      <w:pPr>
        <w:pStyle w:val="Nivel01"/>
        <w:numPr>
          <w:ilvl w:val="0"/>
          <w:numId w:val="4"/>
        </w:numPr>
        <w:spacing w:lineRule="auto" w:line="276" w:before="57" w:after="0"/>
        <w:ind w:hanging="0" w:left="0"/>
        <w:rPr>
          <w:rFonts w:ascii="Verdana" w:hAnsi="Verdana"/>
        </w:rPr>
      </w:pPr>
      <w:r>
        <w:rPr>
          <w:rFonts w:cs="Arial" w:ascii="Verdana" w:hAnsi="Verdana"/>
        </w:rPr>
        <w:t xml:space="preserve">DA ADJUDICAÇÃO E HOMOLOGAÇÃO </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rPr>
        <w:t>13.1 O objeto da licitação será adjudicado ao licitante declarado vencedor, por ato do Pregoeiro, caso não haja interposição de recurso, ou pela autoridade competente, após a regular decisão dos recursos apresentados.</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rPr>
        <w:t xml:space="preserve">13.2 Após a fase recursal, constatada a regularidade dos atos praticados, a autoridade competente homologará o procedimento licitatório. </w:t>
      </w:r>
    </w:p>
    <w:p>
      <w:pPr>
        <w:pStyle w:val="Normal"/>
        <w:spacing w:lineRule="auto" w:line="276"/>
        <w:rPr>
          <w:rFonts w:ascii="Verdana" w:hAnsi="Verdana"/>
          <w:sz w:val="20"/>
          <w:szCs w:val="20"/>
        </w:rPr>
      </w:pPr>
      <w:r>
        <w:rPr>
          <w:rFonts w:ascii="Verdana" w:hAnsi="Verdana"/>
          <w:sz w:val="20"/>
          <w:szCs w:val="20"/>
        </w:rPr>
      </w:r>
    </w:p>
    <w:p>
      <w:pPr>
        <w:pStyle w:val="ListParagraph"/>
        <w:tabs>
          <w:tab w:val="clear" w:pos="720"/>
          <w:tab w:val="left" w:pos="850" w:leader="none"/>
        </w:tabs>
        <w:spacing w:lineRule="auto" w:line="276" w:before="57" w:after="0"/>
        <w:ind w:left="0"/>
        <w:contextualSpacing w:val="false"/>
        <w:jc w:val="both"/>
        <w:rPr>
          <w:rFonts w:ascii="Verdana" w:hAnsi="Verdana"/>
          <w:sz w:val="20"/>
          <w:szCs w:val="20"/>
        </w:rPr>
      </w:pPr>
      <w:r>
        <w:rPr>
          <w:rFonts w:cs="Arial" w:ascii="Verdana" w:hAnsi="Verdana"/>
          <w:b/>
          <w:bCs/>
          <w:sz w:val="20"/>
          <w:szCs w:val="20"/>
        </w:rPr>
        <w:t>14 DA ENTREGA DOS EQUIPAMENTOS</w:t>
      </w:r>
    </w:p>
    <w:p>
      <w:pPr>
        <w:pStyle w:val="ListParagraph"/>
        <w:tabs>
          <w:tab w:val="clear" w:pos="720"/>
          <w:tab w:val="left" w:pos="850" w:leader="none"/>
        </w:tabs>
        <w:spacing w:lineRule="auto" w:line="276" w:before="57" w:after="0"/>
        <w:ind w:left="0"/>
        <w:contextualSpacing w:val="false"/>
        <w:jc w:val="both"/>
        <w:rPr>
          <w:rFonts w:ascii="Verdana" w:hAnsi="Verdana"/>
          <w:sz w:val="20"/>
          <w:szCs w:val="20"/>
        </w:rPr>
      </w:pPr>
      <w:r>
        <w:rPr>
          <w:rFonts w:cs="Arial" w:ascii="Verdana" w:hAnsi="Verdana"/>
          <w:sz w:val="20"/>
          <w:szCs w:val="20"/>
        </w:rPr>
        <w:t>14.1</w:t>
      </w:r>
      <w:r>
        <w:rPr>
          <w:rFonts w:cs="Arial" w:ascii="Verdana" w:hAnsi="Verdana"/>
          <w:b/>
          <w:bCs/>
          <w:sz w:val="20"/>
          <w:szCs w:val="20"/>
        </w:rPr>
        <w:t xml:space="preserve"> A CONTRATADA deverá entregar os equipamentos no prazo máximo de 20 (vinte) dias após o recebimento da Autorização de Fornecimento emitida pelo Setor de Compras da Secretaria Municipal de Saúde.</w:t>
      </w:r>
    </w:p>
    <w:p>
      <w:pPr>
        <w:pStyle w:val="Normal"/>
        <w:spacing w:lineRule="auto" w:line="276"/>
        <w:jc w:val="both"/>
        <w:rPr>
          <w:rFonts w:ascii="Verdana" w:hAnsi="Verdana" w:cs="Arial"/>
          <w:b/>
          <w:bCs/>
          <w:sz w:val="20"/>
          <w:szCs w:val="20"/>
        </w:rPr>
      </w:pPr>
      <w:r>
        <w:rPr>
          <w:rFonts w:cs="Arial" w:ascii="Verdana" w:hAnsi="Verdana"/>
          <w:b/>
          <w:bCs/>
          <w:sz w:val="20"/>
          <w:szCs w:val="20"/>
        </w:rPr>
        <w:t>14.2 DO LOCAL DE ENTREGA:</w:t>
      </w:r>
    </w:p>
    <w:p>
      <w:pPr>
        <w:pStyle w:val="Normal"/>
        <w:spacing w:lineRule="auto" w:line="276"/>
        <w:jc w:val="both"/>
        <w:rPr>
          <w:rFonts w:ascii="Verdana" w:hAnsi="Verdana" w:cs="Arial"/>
          <w:sz w:val="20"/>
          <w:szCs w:val="20"/>
        </w:rPr>
      </w:pPr>
      <w:r>
        <w:rPr>
          <w:rFonts w:cs="Arial" w:ascii="Verdana" w:hAnsi="Verdana"/>
          <w:sz w:val="20"/>
          <w:szCs w:val="20"/>
        </w:rPr>
        <w:t>*  A entrega deverá ocorrer no Almoxarifado da Atenção Básica, localizado na Rua João XXIII, nº. 287, Centro, município de São Gabriel da Palha ES, no horário de expediente deste setor, ou seja, segunda a quinta feira no horário de 08h00min às 16h00min e as sextas-feiras no horário de 07h00min as 13h00min.</w:t>
      </w:r>
    </w:p>
    <w:p>
      <w:pPr>
        <w:pStyle w:val="Normal"/>
        <w:spacing w:lineRule="auto" w:line="276"/>
        <w:jc w:val="both"/>
        <w:rPr>
          <w:rFonts w:ascii="Verdana" w:hAnsi="Verdana"/>
          <w:sz w:val="20"/>
          <w:szCs w:val="20"/>
        </w:rPr>
      </w:pPr>
      <w:r>
        <w:rPr>
          <w:rFonts w:cs="Arial" w:ascii="Verdana" w:hAnsi="Verdana"/>
          <w:sz w:val="20"/>
          <w:szCs w:val="20"/>
        </w:rPr>
        <w:t>Contato: 27 9 9740 8895</w:t>
      </w:r>
    </w:p>
    <w:p>
      <w:pPr>
        <w:pStyle w:val="Normal"/>
        <w:spacing w:lineRule="auto" w:line="276"/>
        <w:jc w:val="both"/>
        <w:rPr>
          <w:rFonts w:ascii="Verdana" w:hAnsi="Verdana"/>
          <w:sz w:val="20"/>
          <w:szCs w:val="20"/>
        </w:rPr>
      </w:pPr>
      <w:r>
        <w:rPr>
          <w:rFonts w:cs="Arial" w:ascii="Verdana" w:hAnsi="Verdana"/>
          <w:sz w:val="20"/>
          <w:szCs w:val="20"/>
        </w:rPr>
        <w:t>E-mail: setorcomprassgp</w:t>
      </w:r>
      <w:r>
        <w:rPr>
          <w:rFonts w:eastAsia="Times New Roman" w:cs="Arial" w:ascii="Verdana" w:hAnsi="Verdana"/>
          <w:sz w:val="20"/>
          <w:szCs w:val="20"/>
          <w:lang w:eastAsia="zh-CN"/>
        </w:rPr>
        <w:t>@gmail.com</w:t>
      </w:r>
    </w:p>
    <w:p>
      <w:pPr>
        <w:pStyle w:val="Normal"/>
        <w:spacing w:lineRule="auto" w:line="276"/>
        <w:jc w:val="both"/>
        <w:rPr>
          <w:rFonts w:ascii="Verdana" w:hAnsi="Verdana"/>
          <w:sz w:val="20"/>
          <w:szCs w:val="20"/>
        </w:rPr>
      </w:pPr>
      <w:r>
        <w:rPr>
          <w:rFonts w:cs="Arial" w:ascii="Verdana" w:hAnsi="Verdana"/>
          <w:sz w:val="20"/>
          <w:szCs w:val="20"/>
        </w:rPr>
        <w:t xml:space="preserve">Responsável: Secretaria Municipal de </w:t>
      </w:r>
      <w:r>
        <w:rPr>
          <w:rFonts w:eastAsia="Times New Roman" w:cs="Arial" w:ascii="Verdana" w:hAnsi="Verdana"/>
          <w:sz w:val="20"/>
          <w:szCs w:val="20"/>
          <w:lang w:eastAsia="zh-CN"/>
        </w:rPr>
        <w:t>Saúde</w:t>
      </w:r>
    </w:p>
    <w:p>
      <w:pPr>
        <w:pStyle w:val="Normal"/>
        <w:spacing w:lineRule="auto" w:line="276"/>
        <w:jc w:val="both"/>
        <w:rPr>
          <w:rFonts w:ascii="Verdana" w:hAnsi="Verdana"/>
          <w:sz w:val="20"/>
          <w:szCs w:val="20"/>
        </w:rPr>
      </w:pPr>
      <w:r>
        <w:rPr>
          <w:rFonts w:eastAsia="Times New Roman" w:cs="Arial" w:ascii="Verdana" w:hAnsi="Verdana"/>
          <w:sz w:val="20"/>
          <w:szCs w:val="20"/>
          <w:lang w:eastAsia="zh-CN"/>
        </w:rPr>
        <w:t xml:space="preserve">* </w:t>
      </w:r>
      <w:r>
        <w:rPr>
          <w:rFonts w:eastAsia="Times New Roman" w:cs="Arial" w:ascii="Verdana" w:hAnsi="Verdana"/>
          <w:color w:val="0A0A0A"/>
          <w:sz w:val="20"/>
          <w:szCs w:val="20"/>
          <w:lang w:eastAsia="zh-CN"/>
        </w:rPr>
        <w:t>O Almoxarifado da Atenção Básica realizará o recebimento provisório do equipamento, tornando-se definitivo somente após a instalação por parte do Técnico de Informática da Prefeitura Municipal de São Gabriel da Palha/ES</w:t>
      </w:r>
      <w:r>
        <w:rPr>
          <w:rFonts w:eastAsia="Times New Roman" w:cs="Arial" w:ascii="Verdana" w:hAnsi="Verdana"/>
          <w:sz w:val="20"/>
          <w:szCs w:val="20"/>
          <w:lang w:eastAsia="zh-CN"/>
        </w:rPr>
        <w:t>.</w:t>
      </w:r>
    </w:p>
    <w:p>
      <w:pPr>
        <w:pStyle w:val="Normal"/>
        <w:spacing w:lineRule="auto" w:line="276"/>
        <w:jc w:val="both"/>
        <w:rPr>
          <w:rFonts w:ascii="Verdana" w:hAnsi="Verdana" w:cs="Arial"/>
          <w:sz w:val="20"/>
          <w:szCs w:val="20"/>
        </w:rPr>
      </w:pPr>
      <w:r>
        <w:rPr>
          <w:rFonts w:cs="Arial" w:ascii="Verdana" w:hAnsi="Verdana"/>
          <w:sz w:val="20"/>
          <w:szCs w:val="20"/>
        </w:rPr>
      </w:r>
    </w:p>
    <w:p>
      <w:pPr>
        <w:pStyle w:val="Normal"/>
        <w:spacing w:lineRule="auto" w:line="276"/>
        <w:jc w:val="both"/>
        <w:rPr>
          <w:rFonts w:ascii="Verdana" w:hAnsi="Verdana" w:cs="Arial"/>
          <w:b/>
          <w:bCs/>
          <w:sz w:val="20"/>
          <w:szCs w:val="20"/>
        </w:rPr>
      </w:pPr>
      <w:r>
        <w:rPr>
          <w:rFonts w:cs="Arial" w:ascii="Verdana" w:hAnsi="Verdana"/>
          <w:b/>
          <w:bCs/>
          <w:sz w:val="20"/>
          <w:szCs w:val="20"/>
        </w:rPr>
        <w:t>14.3 DAS CONDIÇÕES DE ENTREGA:</w:t>
      </w:r>
    </w:p>
    <w:p>
      <w:pPr>
        <w:pStyle w:val="Normal"/>
        <w:spacing w:lineRule="auto" w:line="276"/>
        <w:jc w:val="both"/>
        <w:rPr>
          <w:rFonts w:ascii="Verdana" w:hAnsi="Verdana"/>
          <w:sz w:val="20"/>
          <w:szCs w:val="20"/>
        </w:rPr>
      </w:pPr>
      <w:r>
        <w:rPr>
          <w:rFonts w:cs="Arial" w:ascii="Verdana" w:hAnsi="Verdana"/>
          <w:sz w:val="20"/>
          <w:szCs w:val="20"/>
        </w:rPr>
        <w:t>a) Os equipamentos serão recebidos no ato da entrega, no local e endereço indicados anteriormente;</w:t>
      </w:r>
    </w:p>
    <w:p>
      <w:pPr>
        <w:pStyle w:val="Nivel2"/>
        <w:numPr>
          <w:ilvl w:val="0"/>
          <w:numId w:val="0"/>
        </w:numPr>
        <w:spacing w:before="0" w:after="0"/>
        <w:ind w:hanging="0" w:left="0"/>
        <w:rPr>
          <w:rFonts w:ascii="Verdana" w:hAnsi="Verdana"/>
        </w:rPr>
      </w:pPr>
      <w:r>
        <w:rPr>
          <w:rFonts w:cs="Arial" w:ascii="Verdana" w:hAnsi="Verdana"/>
          <w:iCs/>
        </w:rPr>
        <w:t>b)</w:t>
      </w:r>
      <w:r>
        <w:rPr>
          <w:rFonts w:cs="Arial" w:ascii="Verdana" w:hAnsi="Verdana"/>
          <w:b/>
          <w:bCs/>
          <w:iCs/>
        </w:rPr>
        <w:t xml:space="preserve"> </w:t>
      </w:r>
      <w:r>
        <w:rPr>
          <w:rFonts w:cs="Arial" w:ascii="Verdana" w:hAnsi="Verdana"/>
          <w:bCs/>
          <w:iCs/>
        </w:rPr>
        <w:t xml:space="preserve">Caso não seja possível a entrega na data assinalada, a empresa deverá comunicar as razões respectivas com pelo menos 02 (dois) dias de antecedência para que qualquer pleito de prorrogação de prazo seja analisado, ressalvadas situações de caso fortuito e </w:t>
      </w:r>
      <w:r>
        <w:rPr>
          <w:rFonts w:cs="Arial" w:ascii="Verdana" w:hAnsi="Verdana"/>
          <w:iCs/>
        </w:rPr>
        <w:t>força</w:t>
      </w:r>
      <w:r>
        <w:rPr>
          <w:rFonts w:cs="Arial" w:ascii="Verdana" w:hAnsi="Verdana"/>
          <w:bCs/>
          <w:iCs/>
        </w:rPr>
        <w:t xml:space="preserve"> maior.</w:t>
      </w:r>
    </w:p>
    <w:p>
      <w:pPr>
        <w:pStyle w:val="Nivel2"/>
        <w:numPr>
          <w:ilvl w:val="0"/>
          <w:numId w:val="0"/>
        </w:numPr>
        <w:spacing w:before="0" w:after="0"/>
        <w:ind w:hanging="0" w:left="0"/>
        <w:rPr>
          <w:rFonts w:ascii="Verdana" w:hAnsi="Verdana"/>
        </w:rPr>
      </w:pPr>
      <w:r>
        <w:rPr>
          <w:rFonts w:cs="Arial" w:ascii="Verdana" w:hAnsi="Verdana"/>
          <w:bCs/>
          <w:iCs/>
        </w:rPr>
        <w:t>c) Os equipamentos serão recebidos</w:t>
      </w:r>
      <w:r>
        <w:rPr>
          <w:rFonts w:cs="Arial" w:ascii="Verdana" w:hAnsi="Verdana"/>
          <w:bCs/>
        </w:rPr>
        <w:t xml:space="preserve"> “provisoriamente” pelo(a) Almoxarifado da Atenção Básica para efeito de posterior verificação de sua conformidade com as especificações constantes neste Termo de Referência e na proposta.</w:t>
      </w:r>
    </w:p>
    <w:p>
      <w:pPr>
        <w:pStyle w:val="Nivel2"/>
        <w:numPr>
          <w:ilvl w:val="0"/>
          <w:numId w:val="0"/>
        </w:numPr>
        <w:spacing w:before="0" w:after="0"/>
        <w:ind w:hanging="0" w:left="0"/>
        <w:rPr>
          <w:rFonts w:ascii="Verdana" w:hAnsi="Verdana"/>
        </w:rPr>
      </w:pPr>
      <w:r>
        <w:rPr>
          <w:rFonts w:cs="Arial" w:ascii="Verdana" w:hAnsi="Verdana"/>
          <w:bCs/>
        </w:rPr>
        <w:t>d) Os itens poderão ser rejeitados, no todo ou em parte, quando em desacordo com as especificações constantes no ETP, neste Termo de Referência e na respectiva Autorização de Fornecimento, devendo ser substituído imediatamente, no momento da constatação pelo demandante, às suas custas.</w:t>
      </w:r>
    </w:p>
    <w:p>
      <w:pPr>
        <w:pStyle w:val="ListParagraph"/>
        <w:spacing w:lineRule="auto" w:line="276"/>
        <w:ind w:left="0"/>
        <w:jc w:val="both"/>
        <w:rPr>
          <w:rFonts w:ascii="Verdana" w:hAnsi="Verdana"/>
          <w:sz w:val="20"/>
          <w:szCs w:val="20"/>
        </w:rPr>
      </w:pPr>
      <w:r>
        <w:rPr>
          <w:rFonts w:cs="Arial" w:ascii="Verdana" w:hAnsi="Verdana"/>
          <w:sz w:val="20"/>
          <w:szCs w:val="20"/>
        </w:rPr>
        <w:t>e) O recebimento provisório ou definitivo não excluirá a responsabilidade da contratada pelos prejuízos resultantes da incorreta execução do contrato.</w:t>
      </w:r>
    </w:p>
    <w:p>
      <w:pPr>
        <w:pStyle w:val="ListParagraph"/>
        <w:tabs>
          <w:tab w:val="clear" w:pos="720"/>
          <w:tab w:val="left" w:pos="850" w:leader="none"/>
        </w:tabs>
        <w:spacing w:lineRule="auto" w:line="276" w:before="57" w:after="0"/>
        <w:ind w:left="0"/>
        <w:contextualSpacing w:val="false"/>
        <w:jc w:val="both"/>
        <w:rPr>
          <w:rFonts w:ascii="Verdana" w:hAnsi="Verdana"/>
          <w:sz w:val="20"/>
          <w:szCs w:val="20"/>
        </w:rPr>
      </w:pPr>
      <w:r>
        <w:rPr>
          <w:rFonts w:eastAsia="Times New Roman" w:cs="Arial" w:ascii="Verdana" w:hAnsi="Verdana"/>
          <w:b/>
          <w:bCs/>
          <w:iCs/>
          <w:sz w:val="20"/>
          <w:szCs w:val="20"/>
          <w:lang w:eastAsia="en-US"/>
        </w:rPr>
        <w:t>f) No caso de recusa da entrega do produto pelo fornecedor, a Administração Pública adotará as providências cabíveis, de cordo com a legislação aplicável, visando sanar problemas por ventura ocorridos.</w:t>
      </w:r>
    </w:p>
    <w:p>
      <w:pPr>
        <w:pStyle w:val="Normal"/>
        <w:spacing w:lineRule="auto" w:line="276"/>
        <w:rPr>
          <w:rFonts w:ascii="Verdana" w:hAnsi="Verdana"/>
          <w:sz w:val="20"/>
          <w:szCs w:val="20"/>
        </w:rPr>
      </w:pPr>
      <w:r>
        <w:rPr>
          <w:rFonts w:ascii="Verdana" w:hAnsi="Verdana"/>
          <w:sz w:val="20"/>
          <w:szCs w:val="20"/>
        </w:rPr>
      </w:r>
    </w:p>
    <w:p>
      <w:pPr>
        <w:pStyle w:val="Nivel01"/>
        <w:spacing w:lineRule="auto" w:line="276" w:before="57" w:after="0"/>
        <w:rPr>
          <w:rFonts w:ascii="Verdana" w:hAnsi="Verdana"/>
        </w:rPr>
      </w:pPr>
      <w:r>
        <w:rPr>
          <w:rFonts w:cs="Arial" w:ascii="Verdana" w:hAnsi="Verdana"/>
        </w:rPr>
        <w:t>15. DO REAJUSTAMENTO EM SENTIDO GERAL</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Normal"/>
        <w:spacing w:lineRule="auto" w:line="276"/>
        <w:rPr>
          <w:rFonts w:ascii="Verdana" w:hAnsi="Verdana"/>
          <w:sz w:val="20"/>
          <w:szCs w:val="20"/>
        </w:rPr>
      </w:pPr>
      <w:r>
        <w:rPr>
          <w:rFonts w:ascii="Verdana" w:hAnsi="Verdana"/>
          <w:sz w:val="20"/>
          <w:szCs w:val="20"/>
        </w:rPr>
      </w:r>
    </w:p>
    <w:p>
      <w:pPr>
        <w:pStyle w:val="Nivel01"/>
        <w:spacing w:lineRule="auto" w:line="276" w:before="57" w:after="0"/>
        <w:rPr>
          <w:rFonts w:ascii="Verdana" w:hAnsi="Verdana"/>
        </w:rPr>
      </w:pPr>
      <w:r>
        <w:rPr>
          <w:rFonts w:cs="Arial" w:ascii="Verdana" w:hAnsi="Verdana"/>
        </w:rPr>
        <w:t>16. DA ACEITAÇÃO DO OBJETO E DA FISCALIZAÇÃO</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16.1 Os critérios de recebimento e aceitação do objeto e de fiscalização estão previstos no Termo de Referência anexo a este edital.</w:t>
      </w:r>
    </w:p>
    <w:p>
      <w:pPr>
        <w:pStyle w:val="Normal"/>
        <w:spacing w:lineRule="auto" w:line="276"/>
        <w:rPr>
          <w:rFonts w:ascii="Verdana" w:hAnsi="Verdana"/>
          <w:sz w:val="20"/>
          <w:szCs w:val="20"/>
        </w:rPr>
      </w:pPr>
      <w:r>
        <w:rPr>
          <w:rFonts w:ascii="Verdana" w:hAnsi="Verdana"/>
          <w:sz w:val="20"/>
          <w:szCs w:val="20"/>
        </w:rPr>
      </w:r>
    </w:p>
    <w:p>
      <w:pPr>
        <w:pStyle w:val="Nivel01"/>
        <w:spacing w:lineRule="auto" w:line="276" w:before="57" w:after="0"/>
        <w:rPr>
          <w:rFonts w:ascii="Verdana" w:hAnsi="Verdana"/>
        </w:rPr>
      </w:pPr>
      <w:r>
        <w:rPr>
          <w:rFonts w:cs="Arial" w:ascii="Verdana" w:hAnsi="Verdana"/>
          <w:lang w:eastAsia="en-US"/>
        </w:rPr>
        <w:t>17. DAS OBRIGAÇÕES DA CONTRATANTE E DA CONTRATADA</w:t>
      </w:r>
    </w:p>
    <w:p>
      <w:pPr>
        <w:pStyle w:val="ListParagraph"/>
        <w:spacing w:lineRule="auto" w:line="276" w:before="57" w:after="0"/>
        <w:ind w:left="0"/>
        <w:contextualSpacing w:val="false"/>
        <w:jc w:val="both"/>
        <w:rPr>
          <w:rFonts w:ascii="Verdana" w:hAnsi="Verdana"/>
          <w:sz w:val="20"/>
          <w:szCs w:val="20"/>
        </w:rPr>
      </w:pPr>
      <w:r>
        <w:rPr>
          <w:rFonts w:cs="Arial" w:ascii="Verdana" w:hAnsi="Verdana"/>
          <w:b/>
          <w:bCs/>
          <w:color w:val="000000"/>
          <w:sz w:val="20"/>
          <w:szCs w:val="20"/>
          <w:lang w:eastAsia="en-US"/>
        </w:rPr>
        <w:t xml:space="preserve">17.1 </w:t>
      </w:r>
      <w:r>
        <w:rPr>
          <w:rFonts w:cs="Arial" w:ascii="Verdana" w:hAnsi="Verdana"/>
          <w:color w:val="000000"/>
          <w:sz w:val="20"/>
          <w:szCs w:val="20"/>
          <w:lang w:eastAsia="en-US"/>
        </w:rPr>
        <w:t>As obrigações da Contratante e da Contratada são as estabelecidas no Termo de Referência anexo a este edital.</w:t>
      </w:r>
    </w:p>
    <w:p>
      <w:pPr>
        <w:pStyle w:val="Normal"/>
        <w:spacing w:lineRule="auto" w:line="276"/>
        <w:rPr>
          <w:rFonts w:ascii="Verdana" w:hAnsi="Verdana"/>
          <w:sz w:val="20"/>
          <w:szCs w:val="20"/>
        </w:rPr>
      </w:pPr>
      <w:r>
        <w:rPr>
          <w:rFonts w:ascii="Verdana" w:hAnsi="Verdana"/>
          <w:sz w:val="20"/>
          <w:szCs w:val="20"/>
        </w:rPr>
      </w:r>
    </w:p>
    <w:p>
      <w:pPr>
        <w:pStyle w:val="Nivel01"/>
        <w:spacing w:lineRule="auto" w:line="276" w:before="57" w:after="0"/>
        <w:rPr>
          <w:rFonts w:ascii="Verdana" w:hAnsi="Verdana"/>
        </w:rPr>
      </w:pPr>
      <w:r>
        <w:rPr>
          <w:rFonts w:cs="Tahoma" w:ascii="Verdana" w:hAnsi="Verdana"/>
          <w:color w:val="auto"/>
        </w:rPr>
        <w:t>18</w:t>
      </w:r>
      <w:r>
        <w:rPr>
          <w:rFonts w:cs="Arial" w:ascii="Verdana" w:hAnsi="Verdana"/>
        </w:rPr>
        <w:t>. DO PAGAMENTO</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 xml:space="preserve">Recebida a Nota Fiscal ou documento de cobrança equivalente, correrá o prazo de </w:t>
      </w:r>
      <w:r>
        <w:rPr>
          <w:rFonts w:eastAsia="Times New Roman" w:cs="Times New Roman" w:ascii="Verdana" w:hAnsi="Verdana"/>
          <w:color w:val="000000"/>
          <w:sz w:val="20"/>
          <w:szCs w:val="20"/>
          <w:lang w:eastAsia="en-US"/>
        </w:rPr>
        <w:t>(30) trinta</w:t>
      </w:r>
      <w:r>
        <w:rPr>
          <w:rFonts w:cs="Arial" w:ascii="Verdana" w:hAnsi="Verdana"/>
          <w:color w:val="000000"/>
          <w:sz w:val="20"/>
          <w:szCs w:val="20"/>
          <w:lang w:eastAsia="en-US"/>
        </w:rPr>
        <w:t xml:space="preserve"> dias úteis para fins de liquidação, na forma desta seção, prorrogáveis por igual período.</w:t>
      </w:r>
    </w:p>
    <w:p>
      <w:pPr>
        <w:pStyle w:val="ListParagraph"/>
        <w:spacing w:lineRule="auto" w:line="276" w:before="57" w:after="0"/>
        <w:ind w:left="0"/>
        <w:contextualSpacing w:val="false"/>
        <w:jc w:val="both"/>
        <w:rPr/>
      </w:pPr>
      <w:r>
        <w:rPr>
          <w:rFonts w:ascii="Verdana" w:hAnsi="Verdana"/>
          <w:sz w:val="20"/>
          <w:szCs w:val="20"/>
        </w:rPr>
        <w:t>18</w:t>
      </w:r>
      <w:r>
        <w:rPr>
          <w:rFonts w:cs="Arial" w:ascii="Verdana" w:hAnsi="Verdana"/>
          <w:color w:val="000000"/>
          <w:sz w:val="20"/>
          <w:szCs w:val="20"/>
          <w:lang w:eastAsia="en-US"/>
        </w:rPr>
        <w:t xml:space="preserve">.2.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195"/>
          <w:sz w:val="20"/>
          <w:szCs w:val="20"/>
          <w:rFonts w:cs="Arial" w:ascii="Verdana" w:hAnsi="Verdana"/>
          <w:color w:val="000000"/>
          <w:lang w:eastAsia="en-US"/>
        </w:rPr>
        <w:instrText xml:space="preserve"> HYPERLINK "http://www.planalto.gov.br/ccivil_03/_ato2019-2022/2021/lei/L14133.htm" \l "art75"</w:instrText>
      </w:r>
      <w:r>
        <w:rPr>
          <w:rStyle w:val="ListLabel195"/>
          <w:sz w:val="20"/>
          <w:szCs w:val="20"/>
          <w:rFonts w:cs="Arial" w:ascii="Verdana" w:hAnsi="Verdana"/>
          <w:color w:val="000000"/>
          <w:lang w:eastAsia="en-US"/>
        </w:rPr>
        <w:fldChar w:fldCharType="separate"/>
      </w:r>
      <w:r>
        <w:rPr>
          <w:rStyle w:val="ListLabel195"/>
          <w:rFonts w:cs="Arial" w:ascii="Verdana" w:hAnsi="Verdana"/>
          <w:color w:val="000000"/>
          <w:sz w:val="20"/>
          <w:szCs w:val="20"/>
          <w:lang w:eastAsia="en-US"/>
        </w:rPr>
        <w:t xml:space="preserve">inciso II do art. 75 da Lei nº 14.133, de </w:t>
      </w:r>
      <w:r>
        <w:rPr>
          <w:rStyle w:val="ListLabel195"/>
          <w:sz w:val="20"/>
          <w:szCs w:val="20"/>
          <w:rFonts w:cs="Arial" w:ascii="Verdana" w:hAnsi="Verdana"/>
          <w:color w:val="000000"/>
          <w:lang w:eastAsia="en-US"/>
        </w:rPr>
        <w:fldChar w:fldCharType="end"/>
      </w:r>
      <w:r>
        <w:rPr>
          <w:rFonts w:cs="Arial" w:ascii="Verdana" w:hAnsi="Verdana"/>
          <w:color w:val="000000"/>
          <w:sz w:val="20"/>
          <w:szCs w:val="20"/>
          <w:lang w:eastAsia="en-US"/>
        </w:rPr>
        <w:t>2021.</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18.3. Para fins de liquidação, o setor competente deverá verificar se a nota fiscal ou instrumento de cobrança equivalente apresentado expressa os elementos necessários e esse</w:t>
      </w:r>
      <w:r>
        <w:rPr>
          <w:rFonts w:ascii="Verdana" w:hAnsi="Verdana"/>
          <w:sz w:val="20"/>
          <w:szCs w:val="20"/>
        </w:rPr>
        <w:t xml:space="preserve">nciais do documento, tais como: </w:t>
      </w:r>
    </w:p>
    <w:p>
      <w:pPr>
        <w:pStyle w:val="Normal"/>
        <w:tabs>
          <w:tab w:val="clear" w:pos="720"/>
          <w:tab w:val="left" w:pos="563" w:leader="none"/>
        </w:tabs>
        <w:spacing w:lineRule="auto" w:line="276"/>
        <w:ind w:left="432"/>
        <w:jc w:val="both"/>
        <w:rPr>
          <w:rFonts w:ascii="Verdana" w:hAnsi="Verdana"/>
          <w:sz w:val="20"/>
          <w:szCs w:val="20"/>
        </w:rPr>
      </w:pPr>
      <w:r>
        <w:rPr>
          <w:rFonts w:ascii="Verdana" w:hAnsi="Verdana"/>
          <w:sz w:val="20"/>
          <w:szCs w:val="20"/>
        </w:rPr>
        <w:t>- O prazo de validade;</w:t>
      </w:r>
    </w:p>
    <w:p>
      <w:pPr>
        <w:pStyle w:val="Normal"/>
        <w:tabs>
          <w:tab w:val="clear" w:pos="720"/>
          <w:tab w:val="left" w:pos="563" w:leader="none"/>
        </w:tabs>
        <w:spacing w:lineRule="auto" w:line="276"/>
        <w:ind w:left="432"/>
        <w:jc w:val="both"/>
        <w:rPr>
          <w:rFonts w:ascii="Verdana" w:hAnsi="Verdana"/>
          <w:sz w:val="20"/>
          <w:szCs w:val="20"/>
        </w:rPr>
      </w:pPr>
      <w:r>
        <w:rPr>
          <w:rFonts w:ascii="Verdana" w:hAnsi="Verdana"/>
          <w:sz w:val="20"/>
          <w:szCs w:val="20"/>
        </w:rPr>
        <w:t xml:space="preserve">- A data da emissão; </w:t>
      </w:r>
    </w:p>
    <w:p>
      <w:pPr>
        <w:pStyle w:val="Normal"/>
        <w:tabs>
          <w:tab w:val="clear" w:pos="720"/>
          <w:tab w:val="left" w:pos="563" w:leader="none"/>
        </w:tabs>
        <w:spacing w:lineRule="auto" w:line="276"/>
        <w:ind w:left="432"/>
        <w:jc w:val="both"/>
        <w:rPr>
          <w:rFonts w:ascii="Verdana" w:hAnsi="Verdana"/>
          <w:sz w:val="20"/>
          <w:szCs w:val="20"/>
        </w:rPr>
      </w:pPr>
      <w:r>
        <w:rPr>
          <w:rFonts w:ascii="Verdana" w:hAnsi="Verdana"/>
          <w:sz w:val="20"/>
          <w:szCs w:val="20"/>
        </w:rPr>
        <w:t xml:space="preserve">- Os dados do contrato e do órgão contratante; </w:t>
      </w:r>
    </w:p>
    <w:p>
      <w:pPr>
        <w:pStyle w:val="Normal"/>
        <w:tabs>
          <w:tab w:val="clear" w:pos="720"/>
          <w:tab w:val="left" w:pos="563" w:leader="none"/>
        </w:tabs>
        <w:spacing w:lineRule="auto" w:line="276"/>
        <w:ind w:left="432"/>
        <w:jc w:val="both"/>
        <w:rPr>
          <w:rFonts w:ascii="Verdana" w:hAnsi="Verdana"/>
          <w:sz w:val="20"/>
          <w:szCs w:val="20"/>
        </w:rPr>
      </w:pPr>
      <w:r>
        <w:rPr>
          <w:rFonts w:ascii="Verdana" w:hAnsi="Verdana"/>
          <w:sz w:val="20"/>
          <w:szCs w:val="20"/>
        </w:rPr>
        <w:t xml:space="preserve">- O período respectivo de execução do contrato; </w:t>
      </w:r>
    </w:p>
    <w:p>
      <w:pPr>
        <w:pStyle w:val="Normal"/>
        <w:tabs>
          <w:tab w:val="clear" w:pos="720"/>
          <w:tab w:val="left" w:pos="563" w:leader="none"/>
        </w:tabs>
        <w:spacing w:lineRule="auto" w:line="276"/>
        <w:ind w:left="432"/>
        <w:jc w:val="both"/>
        <w:rPr>
          <w:rFonts w:ascii="Verdana" w:hAnsi="Verdana"/>
          <w:sz w:val="20"/>
          <w:szCs w:val="20"/>
        </w:rPr>
      </w:pPr>
      <w:r>
        <w:rPr>
          <w:rFonts w:ascii="Verdana" w:hAnsi="Verdana"/>
          <w:sz w:val="20"/>
          <w:szCs w:val="20"/>
        </w:rPr>
        <w:t xml:space="preserve">- O valor a pagar; e </w:t>
      </w:r>
    </w:p>
    <w:p>
      <w:pPr>
        <w:pStyle w:val="Normal"/>
        <w:tabs>
          <w:tab w:val="clear" w:pos="720"/>
          <w:tab w:val="left" w:pos="563" w:leader="none"/>
        </w:tabs>
        <w:spacing w:lineRule="auto" w:line="276"/>
        <w:ind w:left="432"/>
        <w:jc w:val="both"/>
        <w:rPr>
          <w:rFonts w:ascii="Verdana" w:hAnsi="Verdana"/>
          <w:sz w:val="20"/>
          <w:szCs w:val="20"/>
        </w:rPr>
      </w:pPr>
      <w:r>
        <w:rPr>
          <w:rFonts w:ascii="Verdana" w:hAnsi="Verdana"/>
          <w:sz w:val="20"/>
          <w:szCs w:val="20"/>
        </w:rPr>
        <w:t>- Eventual destaque do valor de retenções tributárias cabíveis.</w:t>
      </w:r>
    </w:p>
    <w:p>
      <w:pPr>
        <w:pStyle w:val="ListParagraph"/>
        <w:spacing w:lineRule="auto" w:line="276" w:before="57" w:after="0"/>
        <w:ind w:left="0"/>
        <w:contextualSpacing w:val="false"/>
        <w:jc w:val="both"/>
        <w:rPr>
          <w:rFonts w:ascii="Verdana" w:hAnsi="Verdana"/>
          <w:sz w:val="20"/>
          <w:szCs w:val="20"/>
        </w:rPr>
      </w:pPr>
      <w:r>
        <w:rPr>
          <w:rFonts w:ascii="Verdana" w:hAnsi="Verdana"/>
          <w:sz w:val="20"/>
          <w:szCs w:val="20"/>
        </w:rPr>
        <w:t>18</w:t>
      </w:r>
      <w:r>
        <w:rPr>
          <w:rFonts w:cs="Arial" w:ascii="Verdana" w:hAnsi="Verdana"/>
          <w:color w:val="000000"/>
          <w:sz w:val="20"/>
          <w:szCs w:val="20"/>
          <w:lang w:eastAsia="en-US"/>
        </w:rPr>
        <w:t>.4.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ListParagraph"/>
        <w:spacing w:lineRule="auto" w:line="276" w:before="57" w:after="0"/>
        <w:ind w:left="0"/>
        <w:contextualSpacing w:val="false"/>
        <w:jc w:val="both"/>
        <w:rPr/>
      </w:pPr>
      <w:r>
        <w:rPr>
          <w:rFonts w:cs="Arial" w:ascii="Verdana" w:hAnsi="Verdana"/>
          <w:color w:val="000000"/>
          <w:sz w:val="20"/>
          <w:szCs w:val="20"/>
          <w:lang w:eastAsia="en-US"/>
        </w:rPr>
        <w:t>18.5. A nota fiscal ou instrumento de cobrança equivalente deverá ser obrigatoriamente acompanhado da comprovação da regularidade fiscal</w:t>
      </w:r>
      <w:r>
        <w:rPr>
          <w:rStyle w:val="InternetLink"/>
          <w:rFonts w:cs="Arial" w:ascii="Verdana" w:hAnsi="Verdana"/>
          <w:color w:val="000000"/>
          <w:sz w:val="20"/>
          <w:szCs w:val="20"/>
          <w:lang w:eastAsia="en-US"/>
        </w:rPr>
        <w:t>.</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18.6. O pagamento será efetuado no prazo de até 30 (trinta) dias úteis contados da finalização da liquidação da despesa.</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18.7. O pagamento será realizado por meio de ordem bancária, para crédito em banco, agência e conta corrente indicados pelo contratado.</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w:t>
      </w:r>
      <w:r>
        <w:rPr>
          <w:rFonts w:ascii="Verdana" w:hAnsi="Verdana"/>
          <w:sz w:val="20"/>
          <w:szCs w:val="20"/>
        </w:rPr>
        <w:t>8.</w:t>
      </w:r>
      <w:r>
        <w:rPr>
          <w:rFonts w:cs="Arial" w:ascii="Verdana" w:hAnsi="Verdana"/>
          <w:color w:val="000000"/>
          <w:sz w:val="20"/>
          <w:szCs w:val="20"/>
          <w:lang w:eastAsia="en-US"/>
        </w:rPr>
        <w:t>8. Será considerada data do pagamento o dia em que constar como emitida a ordem bancária para pagamento.</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18.9. Quando do pagamento, será efetuada a retenção tributária prevista na legislação aplicável.</w:t>
      </w:r>
    </w:p>
    <w:p>
      <w:pPr>
        <w:pStyle w:val="ListParagraph"/>
        <w:spacing w:lineRule="auto" w:line="276" w:before="57" w:after="0"/>
        <w:ind w:left="0"/>
        <w:contextualSpacing w:val="false"/>
        <w:jc w:val="both"/>
        <w:rPr/>
      </w:pPr>
      <w:r>
        <w:rPr>
          <w:rFonts w:cs="Arial" w:ascii="Verdana" w:hAnsi="Verdana"/>
          <w:color w:val="000000"/>
          <w:sz w:val="20"/>
          <w:szCs w:val="20"/>
          <w:lang w:eastAsia="en-US"/>
        </w:rPr>
        <w:t xml:space="preserve">18.10. O contratado regularmente optante pelo Simples Nacional, nos termos da </w:t>
      </w:r>
      <w:hyperlink r:id="rId7">
        <w:r>
          <w:rPr>
            <w:rStyle w:val="ListLabel195"/>
            <w:rFonts w:cs="Arial" w:ascii="Verdana" w:hAnsi="Verdana"/>
            <w:color w:val="000000"/>
            <w:sz w:val="20"/>
            <w:szCs w:val="20"/>
            <w:lang w:eastAsia="en-US"/>
          </w:rPr>
          <w:t>Lei Complementar nº 123, de 2006</w:t>
        </w:r>
      </w:hyperlink>
      <w:r>
        <w:rPr>
          <w:rFonts w:cs="Arial" w:ascii="Verdana" w:hAnsi="Verdana"/>
          <w:color w:val="000000"/>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76"/>
        <w:rPr>
          <w:rFonts w:ascii="Verdana" w:hAnsi="Verdana"/>
          <w:sz w:val="20"/>
          <w:szCs w:val="20"/>
        </w:rPr>
      </w:pPr>
      <w:r>
        <w:rPr>
          <w:rFonts w:ascii="Verdana" w:hAnsi="Verdana"/>
          <w:sz w:val="20"/>
          <w:szCs w:val="20"/>
        </w:rPr>
      </w:r>
    </w:p>
    <w:p>
      <w:pPr>
        <w:pStyle w:val="Nivel01"/>
        <w:spacing w:lineRule="auto" w:line="276" w:before="57" w:after="0"/>
        <w:rPr>
          <w:rFonts w:ascii="Verdana" w:hAnsi="Verdana"/>
        </w:rPr>
      </w:pPr>
      <w:r>
        <w:rPr>
          <w:rFonts w:cs="Arial" w:ascii="Verdana" w:hAnsi="Verdana"/>
        </w:rPr>
        <w:t>19. DAS SANÇÕES ADMINISTRATIVAS.</w:t>
      </w:r>
    </w:p>
    <w:p>
      <w:pPr>
        <w:pStyle w:val="ListParagraph"/>
        <w:spacing w:lineRule="auto" w:line="276" w:before="57" w:after="0"/>
        <w:ind w:left="0"/>
        <w:contextualSpacing w:val="false"/>
        <w:jc w:val="both"/>
        <w:rPr>
          <w:rFonts w:ascii="Verdana" w:hAnsi="Verdana"/>
          <w:sz w:val="20"/>
          <w:szCs w:val="20"/>
        </w:rPr>
      </w:pPr>
      <w:r>
        <w:rPr>
          <w:rFonts w:cs="Arial" w:ascii="Verdana" w:hAnsi="Verdana"/>
          <w:sz w:val="20"/>
          <w:szCs w:val="20"/>
          <w:shd w:fill="FFFFFF" w:val="clear"/>
        </w:rPr>
        <w:t>19.1</w:t>
      </w:r>
      <w:r>
        <w:rPr>
          <w:rFonts w:cs="Arial" w:ascii="Verdana" w:hAnsi="Verdana"/>
          <w:b/>
          <w:bCs/>
          <w:sz w:val="20"/>
          <w:szCs w:val="20"/>
          <w:shd w:fill="FFFFFF" w:val="clear"/>
        </w:rPr>
        <w:t xml:space="preserve"> </w:t>
      </w:r>
      <w:r>
        <w:rPr>
          <w:rFonts w:cs="Arial" w:ascii="Verdana" w:hAnsi="Verdana"/>
          <w:sz w:val="20"/>
          <w:szCs w:val="20"/>
          <w:shd w:fill="FFFFFF" w:val="clear"/>
        </w:rPr>
        <w:t>Com</w:t>
      </w:r>
      <w:r>
        <w:rPr>
          <w:rFonts w:cs="Arial" w:ascii="Verdana" w:hAnsi="Verdana"/>
          <w:color w:val="000000"/>
          <w:sz w:val="20"/>
          <w:szCs w:val="20"/>
          <w:lang w:eastAsia="en-US"/>
        </w:rPr>
        <w:t xml:space="preserve">ete infração administrativa, nos termos da Lei, o licitante/adjudicatário que: </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19.1.1 D</w:t>
      </w:r>
      <w:bookmarkStart w:id="12" w:name="_Ref114668085"/>
      <w:r>
        <w:rPr>
          <w:rFonts w:cs="Arial" w:ascii="Verdana" w:hAnsi="Verdana"/>
          <w:color w:val="000000"/>
          <w:sz w:val="20"/>
          <w:szCs w:val="20"/>
          <w:lang w:eastAsia="en-US"/>
        </w:rPr>
        <w:t>eixar de entregar a documentação exigida para o certame ou não entregar qualquer documento que tenha sido solicitado pelo/a pregoeiro/a durante o certame;</w:t>
      </w:r>
      <w:bookmarkEnd w:id="12"/>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 xml:space="preserve">19.1.2 </w:t>
      </w:r>
      <w:bookmarkStart w:id="13" w:name="_Ref114668108"/>
      <w:r>
        <w:rPr>
          <w:rFonts w:cs="Arial" w:ascii="Verdana" w:hAnsi="Verdana"/>
          <w:color w:val="000000"/>
          <w:sz w:val="20"/>
          <w:szCs w:val="20"/>
          <w:lang w:eastAsia="en-US"/>
        </w:rPr>
        <w:t>Salvo em decorrência de fato superveniente devidamente justificado, não mantiver a proposta em especial quando:</w:t>
      </w:r>
      <w:bookmarkEnd w:id="13"/>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19.1.2.1 Não enviar a proposta adequada ao último lance ofertado ou após a negociação;</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19.1.2.2 Recusar-se a enviar o detalhamento da proposta quando exigível;</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 xml:space="preserve">19.1.2.3 Pedir para ser desclassificado quando encerrada a etapa competitiva; ou </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19.1.2.4 Deixar de apresentar amostra;</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19.1.2.5 Apresentar proposta ou amostra em desacordo com as especificações do edital;</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19.1.3 Não celebrar o contrato ou não entregar documentação exigida para a contratação quando convocado dentro do prazo de validade de sua proposta;</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19.1.3.1 Recusar-se sem justificativa, a assinar o contrato ou a ata de registro de preço, ou a aceitar ou retirar o instrumento equivalente no prazo estabelecido pela Administração;</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19.1.4 A</w:t>
      </w:r>
      <w:bookmarkStart w:id="14" w:name="_Ref114668249"/>
      <w:r>
        <w:rPr>
          <w:rFonts w:cs="Arial" w:ascii="Verdana" w:hAnsi="Verdana"/>
          <w:color w:val="000000"/>
          <w:sz w:val="20"/>
          <w:szCs w:val="20"/>
          <w:lang w:eastAsia="en-US"/>
        </w:rPr>
        <w:t>presentar declaração ou documentação falsa exigida para o certame ou prestar declaração falsa durante a licitação</w:t>
      </w:r>
      <w:bookmarkEnd w:id="14"/>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19.1.5 F</w:t>
      </w:r>
      <w:bookmarkStart w:id="15" w:name="_Ref114668245"/>
      <w:r>
        <w:rPr>
          <w:rFonts w:cs="Arial" w:ascii="Verdana" w:hAnsi="Verdana"/>
          <w:color w:val="000000"/>
          <w:sz w:val="20"/>
          <w:szCs w:val="20"/>
          <w:lang w:eastAsia="en-US"/>
        </w:rPr>
        <w:t>raudar a licitação</w:t>
      </w:r>
      <w:bookmarkEnd w:id="15"/>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19.1.6 C</w:t>
      </w:r>
      <w:bookmarkStart w:id="16" w:name="_Ref114668247"/>
      <w:r>
        <w:rPr>
          <w:rFonts w:cs="Arial" w:ascii="Verdana" w:hAnsi="Verdana"/>
          <w:color w:val="000000"/>
          <w:sz w:val="20"/>
          <w:szCs w:val="20"/>
          <w:lang w:eastAsia="en-US"/>
        </w:rPr>
        <w:t>omportar-se de modo inidôneo ou cometer fraude de qualquer natureza, em especial quando:</w:t>
      </w:r>
      <w:bookmarkEnd w:id="16"/>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19.1.6.1 Agir em conluio ou em desconformidade com a lei;</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19.1.6.2 Induzir deliberadamente a erro no julgamento;</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19.1.6.3 Apresentar amostra falsificada ou deteriorada;</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19.1.7 P</w:t>
      </w:r>
      <w:bookmarkStart w:id="17" w:name="_Ref114668251"/>
      <w:r>
        <w:rPr>
          <w:rFonts w:cs="Arial" w:ascii="Verdana" w:hAnsi="Verdana"/>
          <w:color w:val="000000"/>
          <w:sz w:val="20"/>
          <w:szCs w:val="20"/>
          <w:lang w:eastAsia="en-US"/>
        </w:rPr>
        <w:t>raticar atos ilícitos com vistas a frustrar os objetivos da licitação</w:t>
      </w:r>
      <w:bookmarkEnd w:id="17"/>
    </w:p>
    <w:p>
      <w:pPr>
        <w:pStyle w:val="ListParagraph"/>
        <w:spacing w:lineRule="auto" w:line="276" w:before="57" w:after="0"/>
        <w:ind w:left="0"/>
        <w:contextualSpacing w:val="false"/>
        <w:jc w:val="both"/>
        <w:rPr/>
      </w:pPr>
      <w:r>
        <w:rPr>
          <w:rFonts w:cs="Arial" w:ascii="Verdana" w:hAnsi="Verdana"/>
          <w:color w:val="000000"/>
          <w:sz w:val="20"/>
          <w:szCs w:val="20"/>
          <w:lang w:eastAsia="en-US"/>
        </w:rPr>
        <w:t>19.1.8 P</w:t>
      </w:r>
      <w:bookmarkStart w:id="18" w:name="_Ref114668252"/>
      <w:r>
        <w:rPr>
          <w:rFonts w:cs="Arial" w:ascii="Verdana" w:hAnsi="Verdana"/>
          <w:color w:val="000000"/>
          <w:sz w:val="20"/>
          <w:szCs w:val="20"/>
          <w:lang w:eastAsia="en-US"/>
        </w:rPr>
        <w:t xml:space="preserve">raticar ato lesivo previsto no </w:t>
      </w:r>
      <w:r>
        <w:fldChar w:fldCharType="begin"/>
      </w:r>
      <w:r>
        <w:rPr>
          <w:rStyle w:val="ListLabel195"/>
          <w:sz w:val="20"/>
          <w:szCs w:val="20"/>
          <w:rFonts w:cs="Arial" w:ascii="Verdana" w:hAnsi="Verdana"/>
          <w:color w:val="000000"/>
          <w:lang w:eastAsia="en-US"/>
        </w:rPr>
        <w:instrText xml:space="preserve"> HYPERLINK "https://www.planalto.gov.br/ccivil_03/_ato2011-2014/2013/lei/l12846.htm" \l "art5"</w:instrText>
      </w:r>
      <w:r>
        <w:rPr>
          <w:rStyle w:val="ListLabel195"/>
          <w:sz w:val="20"/>
          <w:szCs w:val="20"/>
          <w:rFonts w:cs="Arial" w:ascii="Verdana" w:hAnsi="Verdana"/>
          <w:color w:val="000000"/>
          <w:lang w:eastAsia="en-US"/>
        </w:rPr>
        <w:fldChar w:fldCharType="separate"/>
      </w:r>
      <w:r>
        <w:rPr>
          <w:rStyle w:val="ListLabel195"/>
          <w:rFonts w:cs="Arial" w:ascii="Verdana" w:hAnsi="Verdana"/>
          <w:color w:val="000000"/>
          <w:sz w:val="20"/>
          <w:szCs w:val="20"/>
          <w:lang w:eastAsia="en-US"/>
        </w:rPr>
        <w:t>art. 5º da Lei n.º 12.846, de 2013</w:t>
      </w:r>
      <w:r>
        <w:rPr>
          <w:rStyle w:val="ListLabel195"/>
          <w:sz w:val="20"/>
          <w:szCs w:val="20"/>
          <w:rFonts w:cs="Arial" w:ascii="Verdana" w:hAnsi="Verdana"/>
          <w:color w:val="000000"/>
          <w:lang w:eastAsia="en-US"/>
        </w:rPr>
        <w:fldChar w:fldCharType="end"/>
      </w:r>
      <w:r>
        <w:rPr>
          <w:rFonts w:cs="Arial" w:ascii="Verdana" w:hAnsi="Verdana"/>
          <w:color w:val="000000"/>
          <w:sz w:val="20"/>
          <w:szCs w:val="20"/>
          <w:lang w:eastAsia="en-US"/>
        </w:rPr>
        <w:t>.</w:t>
      </w:r>
      <w:bookmarkEnd w:id="18"/>
    </w:p>
    <w:p>
      <w:pPr>
        <w:pStyle w:val="ListParagraph"/>
        <w:spacing w:lineRule="auto" w:line="276" w:before="57" w:after="0"/>
        <w:ind w:left="0"/>
        <w:contextualSpacing w:val="false"/>
        <w:jc w:val="both"/>
        <w:rPr/>
      </w:pPr>
      <w:r>
        <w:rPr>
          <w:rFonts w:cs="Arial" w:ascii="Verdana" w:hAnsi="Verdana"/>
          <w:color w:val="000000"/>
          <w:sz w:val="20"/>
          <w:szCs w:val="20"/>
          <w:lang w:eastAsia="en-US"/>
        </w:rPr>
        <w:t xml:space="preserve">19.2 Com fulcro na </w:t>
      </w:r>
      <w:r>
        <w:rPr>
          <w:rStyle w:val="Hyperlink1"/>
          <w:rFonts w:cs="Arial" w:ascii="Verdana" w:hAnsi="Verdana"/>
          <w:color w:val="000000"/>
          <w:sz w:val="20"/>
          <w:szCs w:val="20"/>
          <w:lang w:eastAsia="en-US"/>
        </w:rPr>
        <w:t>Lei nº 14.133, de 2021</w:t>
      </w:r>
      <w:r>
        <w:rPr>
          <w:rFonts w:cs="Arial" w:ascii="Verdana" w:hAnsi="Verdana"/>
          <w:color w:val="000000"/>
          <w:sz w:val="20"/>
          <w:szCs w:val="20"/>
          <w:lang w:eastAsia="en-US"/>
        </w:rPr>
        <w:t>, a Administração poderá, garantida a prévia defesa, aplicar aos licitantes e/ou adjudicatários as seguintes sanções, sem prejuízo das responsabilidades civil e criminal:</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19.2.1 Advertência;</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lang w:eastAsia="en-US"/>
        </w:rPr>
        <w:t>19.2.2 Multa;</w:t>
      </w:r>
    </w:p>
    <w:p>
      <w:pPr>
        <w:pStyle w:val="Nivel2"/>
        <w:numPr>
          <w:ilvl w:val="0"/>
          <w:numId w:val="0"/>
        </w:numPr>
        <w:spacing w:before="57" w:after="0"/>
        <w:ind w:hanging="0" w:left="0"/>
        <w:rPr>
          <w:rFonts w:ascii="Verdana" w:hAnsi="Verdana"/>
        </w:rPr>
      </w:pPr>
      <w:r>
        <w:rPr>
          <w:rFonts w:ascii="Verdana" w:hAnsi="Verdana"/>
        </w:rPr>
        <w:t>19.2.3 Impedimento de licitar e contratar e</w:t>
      </w:r>
    </w:p>
    <w:p>
      <w:pPr>
        <w:pStyle w:val="Nivel2"/>
        <w:numPr>
          <w:ilvl w:val="0"/>
          <w:numId w:val="0"/>
        </w:numPr>
        <w:spacing w:before="57" w:after="0"/>
        <w:ind w:hanging="0" w:left="0"/>
        <w:rPr>
          <w:rFonts w:ascii="Verdana" w:hAnsi="Verdana"/>
        </w:rPr>
      </w:pPr>
      <w:r>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before="57" w:after="0"/>
        <w:ind w:hanging="0" w:left="0"/>
        <w:rPr>
          <w:rFonts w:ascii="Verdana" w:hAnsi="Verdana"/>
        </w:rPr>
      </w:pPr>
      <w:r>
        <w:rPr>
          <w:rFonts w:ascii="Verdana" w:hAnsi="Verdana"/>
        </w:rPr>
        <w:t>19.3 Na aplicação das sanções serão considerados:</w:t>
      </w:r>
    </w:p>
    <w:p>
      <w:pPr>
        <w:pStyle w:val="Nivel2"/>
        <w:numPr>
          <w:ilvl w:val="0"/>
          <w:numId w:val="0"/>
        </w:numPr>
        <w:spacing w:before="57" w:after="0"/>
        <w:ind w:hanging="0" w:left="0"/>
        <w:rPr>
          <w:rFonts w:ascii="Verdana" w:hAnsi="Verdana"/>
        </w:rPr>
      </w:pPr>
      <w:r>
        <w:rPr>
          <w:rFonts w:ascii="Verdana" w:hAnsi="Verdana"/>
        </w:rPr>
        <w:t>19.3.1 A natureza e a gravidade da infração cometida.</w:t>
      </w:r>
    </w:p>
    <w:p>
      <w:pPr>
        <w:pStyle w:val="Nivel2"/>
        <w:numPr>
          <w:ilvl w:val="0"/>
          <w:numId w:val="0"/>
        </w:numPr>
        <w:spacing w:before="57" w:after="0"/>
        <w:ind w:hanging="0" w:left="0"/>
        <w:rPr>
          <w:rFonts w:ascii="Verdana" w:hAnsi="Verdana"/>
        </w:rPr>
      </w:pPr>
      <w:r>
        <w:rPr>
          <w:rFonts w:ascii="Verdana" w:hAnsi="Verdana"/>
        </w:rPr>
        <w:t>19.3.2 As peculiaridades do caso concreto</w:t>
      </w:r>
    </w:p>
    <w:p>
      <w:pPr>
        <w:pStyle w:val="Nivel2"/>
        <w:numPr>
          <w:ilvl w:val="0"/>
          <w:numId w:val="0"/>
        </w:numPr>
        <w:spacing w:before="57" w:after="0"/>
        <w:ind w:hanging="0" w:left="0"/>
        <w:rPr>
          <w:rFonts w:ascii="Verdana" w:hAnsi="Verdana"/>
        </w:rPr>
      </w:pPr>
      <w:r>
        <w:rPr>
          <w:rFonts w:ascii="Verdana" w:hAnsi="Verdana"/>
        </w:rPr>
        <w:t>19.3.3 As circunstâncias agravantes ou atenuantes</w:t>
      </w:r>
    </w:p>
    <w:p>
      <w:pPr>
        <w:pStyle w:val="Nivel2"/>
        <w:numPr>
          <w:ilvl w:val="0"/>
          <w:numId w:val="0"/>
        </w:numPr>
        <w:spacing w:before="57" w:after="0"/>
        <w:ind w:hanging="0" w:left="0"/>
        <w:rPr>
          <w:rFonts w:ascii="Verdana" w:hAnsi="Verdana"/>
        </w:rPr>
      </w:pPr>
      <w:r>
        <w:rPr>
          <w:rFonts w:ascii="Verdana" w:hAnsi="Verdana"/>
        </w:rPr>
        <w:t>19.3.4 Os danos que dela provierem para a Administração Pública</w:t>
      </w:r>
    </w:p>
    <w:p>
      <w:pPr>
        <w:pStyle w:val="Nivel2"/>
        <w:numPr>
          <w:ilvl w:val="0"/>
          <w:numId w:val="0"/>
        </w:numPr>
        <w:spacing w:before="57" w:after="0"/>
        <w:ind w:hanging="0" w:left="0"/>
        <w:rPr>
          <w:rFonts w:ascii="Verdana" w:hAnsi="Verdana"/>
        </w:rPr>
      </w:pPr>
      <w:r>
        <w:rPr>
          <w:rFonts w:ascii="Verdana" w:hAnsi="Verdana"/>
        </w:rPr>
        <w:t>19.3.5 A implantação ou o aperfeiçoamento de programa de integridade, conforme normas e orientações dos órgãos de controle.</w:t>
      </w:r>
    </w:p>
    <w:p>
      <w:pPr>
        <w:pStyle w:val="Nivel2"/>
        <w:numPr>
          <w:ilvl w:val="0"/>
          <w:numId w:val="0"/>
        </w:numPr>
        <w:spacing w:before="57" w:after="0"/>
        <w:ind w:hanging="0" w:left="0"/>
        <w:rPr>
          <w:rFonts w:ascii="Verdana" w:hAnsi="Verdana"/>
        </w:rPr>
      </w:pPr>
      <w:r>
        <w:rPr>
          <w:rFonts w:ascii="Verdana" w:hAnsi="Verdana"/>
        </w:rPr>
        <w:t xml:space="preserve">19.4 A multa será recolhida em percentual de 0,5% a 30% incidente sobre o valor do contrato licitado, recolhida no prazo máximo de </w:t>
      </w:r>
      <w:r>
        <w:rPr>
          <w:rFonts w:ascii="Verdana" w:hAnsi="Verdana"/>
          <w:b/>
          <w:bCs/>
          <w:color w:val="FF0000"/>
        </w:rPr>
        <w:t>.... (......) dias</w:t>
      </w:r>
      <w:r>
        <w:rPr>
          <w:rFonts w:ascii="Verdana" w:hAnsi="Verdana"/>
          <w:color w:val="FF0000"/>
        </w:rPr>
        <w:t xml:space="preserve"> </w:t>
      </w:r>
      <w:r>
        <w:rPr>
          <w:rFonts w:ascii="Verdana" w:hAnsi="Verdana"/>
        </w:rPr>
        <w:t>úteis, a contar da comunicação oficial.</w:t>
      </w:r>
    </w:p>
    <w:p>
      <w:pPr>
        <w:pStyle w:val="Nivel2"/>
        <w:numPr>
          <w:ilvl w:val="0"/>
          <w:numId w:val="0"/>
        </w:numPr>
        <w:spacing w:before="57" w:after="0"/>
        <w:ind w:hanging="0" w:left="0"/>
        <w:rPr>
          <w:rFonts w:ascii="Verdana" w:hAnsi="Verdana"/>
        </w:rPr>
      </w:pPr>
      <w:r>
        <w:rPr>
          <w:rFonts w:ascii="Verdana" w:hAnsi="Verdana"/>
        </w:rPr>
        <w:t xml:space="preserve">19.4.1 </w:t>
      </w:r>
      <w:bookmarkStart w:id="19"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19"/>
    </w:p>
    <w:p>
      <w:pPr>
        <w:pStyle w:val="Nivel2"/>
        <w:numPr>
          <w:ilvl w:val="0"/>
          <w:numId w:val="0"/>
        </w:numPr>
        <w:spacing w:before="57" w:after="0"/>
        <w:ind w:hanging="0" w:left="0"/>
        <w:rPr>
          <w:rFonts w:ascii="Verdana" w:hAnsi="Verdana"/>
        </w:rPr>
      </w:pPr>
      <w:r>
        <w:rPr>
          <w:rFonts w:ascii="Verdana" w:hAnsi="Verdana"/>
        </w:rPr>
        <w:t xml:space="preserve">19.4.2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pPr>
        <w:pStyle w:val="Nivel2"/>
        <w:numPr>
          <w:ilvl w:val="0"/>
          <w:numId w:val="0"/>
        </w:numPr>
        <w:spacing w:before="57" w:after="0"/>
        <w:ind w:hanging="0" w:left="0"/>
        <w:rPr>
          <w:rFonts w:ascii="Verdana" w:hAnsi="Verdana"/>
        </w:rPr>
      </w:pPr>
      <w:r>
        <w:rPr>
          <w:rFonts w:ascii="Verdana" w:hAnsi="Verdana"/>
        </w:rPr>
        <w:t>19.5 As sanções de advertência, impedimento de licitar e contratar e declaração de inidoneidade para licitar ou contratar poderão ser aplicadas, cumulativamente ou não, à penalidade de multa.</w:t>
      </w:r>
    </w:p>
    <w:p>
      <w:pPr>
        <w:pStyle w:val="Nivel2"/>
        <w:numPr>
          <w:ilvl w:val="0"/>
          <w:numId w:val="0"/>
        </w:numPr>
        <w:spacing w:before="57" w:after="0"/>
        <w:ind w:hanging="0" w:left="0"/>
        <w:rPr>
          <w:rFonts w:ascii="Verdana" w:hAnsi="Verdana"/>
        </w:rPr>
      </w:pPr>
      <w:r>
        <w:rPr>
          <w:rFonts w:ascii="Verdana" w:hAnsi="Verdana"/>
        </w:rPr>
        <w:t>19.6 Na aplicação da sanção de multa será facultada a defesa do interessado no prazo de 15 (quinze) dias úteis, contado da data de sua intimação.</w:t>
      </w:r>
    </w:p>
    <w:p>
      <w:pPr>
        <w:pStyle w:val="Nivel2"/>
        <w:numPr>
          <w:ilvl w:val="0"/>
          <w:numId w:val="0"/>
        </w:numPr>
        <w:spacing w:before="57" w:after="0"/>
        <w:ind w:hanging="0" w:left="0"/>
        <w:rPr>
          <w:rFonts w:ascii="Verdana" w:hAnsi="Verdana"/>
        </w:rPr>
      </w:pPr>
      <w:r>
        <w:rPr>
          <w:rFonts w:ascii="Verdana" w:hAnsi="Verdana"/>
        </w:rPr>
        <w:t>19.7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before="57" w:after="0"/>
        <w:ind w:hanging="0" w:left="0"/>
        <w:rPr/>
      </w:pPr>
      <w:r>
        <w:rPr>
          <w:rFonts w:ascii="Verdana" w:hAnsi="Verdana"/>
        </w:rPr>
        <w:t xml:space="preserve">19.8 Poderá ser aplicada ao responsável a sanção de declaração de inidoneidade para licitar ou contratar, em decorrência da prática das infrações dispostas nos itens 20.1.4, 20.1.5, 20.1.6, 19.1.7 e 20.1.8, bem como pelas infrações administrativas previstas nos itens 20.1.1, 20.1.2 e 19.1.3 que justifiquem a imposição de penalidade mais grave que a sanção de impedimento de licitar e contratar, cuja duração observará o prazo previsto no </w:t>
      </w:r>
      <w:r>
        <w:fldChar w:fldCharType="begin"/>
      </w:r>
      <w:r>
        <w:rPr>
          <w:rStyle w:val="ListLabel196"/>
          <w:rFonts w:ascii="Verdana" w:hAnsi="Verdana"/>
          <w:color w:val="000000"/>
        </w:rPr>
        <w:instrText xml:space="preserve"> HYPERLINK "http://www.planalto.gov.br/ccivil_03/_ato2019-2022/2021/lei/L14133.htm" \l "art156%C2%A75"</w:instrText>
      </w:r>
      <w:r>
        <w:rPr>
          <w:rStyle w:val="ListLabel196"/>
          <w:rFonts w:ascii="Verdana" w:hAnsi="Verdana"/>
          <w:color w:val="000000"/>
        </w:rPr>
        <w:fldChar w:fldCharType="separate"/>
      </w:r>
      <w:r>
        <w:rPr>
          <w:rStyle w:val="ListLabel196"/>
          <w:rFonts w:ascii="Verdana" w:hAnsi="Verdana"/>
          <w:color w:val="000000"/>
        </w:rPr>
        <w:t>art. 156, §5º, da Lei n.º 14.133/2021</w:t>
      </w:r>
      <w:r>
        <w:rPr>
          <w:rStyle w:val="ListLabel196"/>
          <w:rFonts w:ascii="Verdana" w:hAnsi="Verdana"/>
          <w:color w:val="000000"/>
        </w:rPr>
        <w:fldChar w:fldCharType="end"/>
      </w:r>
      <w:r>
        <w:rPr>
          <w:rFonts w:ascii="Verdana" w:hAnsi="Verdana"/>
        </w:rPr>
        <w:t>.</w:t>
      </w:r>
    </w:p>
    <w:p>
      <w:pPr>
        <w:pStyle w:val="Nivel2"/>
        <w:numPr>
          <w:ilvl w:val="0"/>
          <w:numId w:val="0"/>
        </w:numPr>
        <w:spacing w:before="57" w:after="0"/>
        <w:ind w:hanging="0" w:left="0"/>
        <w:rPr/>
      </w:pPr>
      <w:r>
        <w:rPr>
          <w:rFonts w:ascii="Verdana" w:hAnsi="Verdana"/>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ListLabel196"/>
            <w:rFonts w:ascii="Verdana" w:hAnsi="Verdana"/>
            <w:color w:val="000000"/>
          </w:rPr>
          <w:t>art. 45, §4º da IN SEGES/ME n.º 73, de 2022</w:t>
        </w:r>
      </w:hyperlink>
      <w:r>
        <w:rPr>
          <w:rFonts w:ascii="Verdana" w:hAnsi="Verdana"/>
        </w:rPr>
        <w:t xml:space="preserve">. </w:t>
      </w:r>
    </w:p>
    <w:p>
      <w:pPr>
        <w:pStyle w:val="Nivel2"/>
        <w:numPr>
          <w:ilvl w:val="0"/>
          <w:numId w:val="0"/>
        </w:numPr>
        <w:spacing w:before="57" w:after="0"/>
        <w:ind w:hanging="0" w:left="0"/>
        <w:rPr>
          <w:rFonts w:ascii="Verdana" w:hAnsi="Verdana"/>
        </w:rPr>
      </w:pPr>
      <w:r>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before="57" w:after="0"/>
        <w:ind w:hanging="0" w:left="0"/>
        <w:rPr>
          <w:rFonts w:ascii="Verdana" w:hAnsi="Verdana"/>
        </w:rPr>
      </w:pPr>
      <w:r>
        <w:rPr>
          <w:rFonts w:ascii="Verdana" w:hAnsi="Verdana"/>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before="57" w:after="0"/>
        <w:ind w:hanging="0" w:left="0"/>
        <w:rPr>
          <w:rFonts w:ascii="Verdana" w:hAnsi="Verdana"/>
        </w:rPr>
      </w:pPr>
      <w:r>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before="57" w:after="0"/>
        <w:ind w:hanging="0" w:left="0"/>
        <w:rPr>
          <w:rFonts w:ascii="Verdana" w:hAnsi="Verdana"/>
        </w:rPr>
      </w:pPr>
      <w:r>
        <w:rPr>
          <w:rFonts w:ascii="Verdana" w:hAnsi="Verdana"/>
        </w:rPr>
        <w:t>19.12 O recurso e o pedido de reconsideração terão efeito suspensivo do ato ou da decisão recorrida até que sobrevenha decisão final da autoridade competente.</w:t>
      </w:r>
    </w:p>
    <w:p>
      <w:pPr>
        <w:pStyle w:val="Nivel2"/>
        <w:numPr>
          <w:ilvl w:val="0"/>
          <w:numId w:val="0"/>
        </w:numPr>
        <w:spacing w:before="57" w:after="0"/>
        <w:ind w:hanging="0" w:left="0"/>
        <w:rPr>
          <w:rFonts w:ascii="Verdana" w:hAnsi="Verdana"/>
        </w:rPr>
      </w:pPr>
      <w:r>
        <w:rPr>
          <w:rFonts w:cs="Arial" w:ascii="Verdana" w:hAnsi="Verdana"/>
          <w:shd w:fill="FFFFFF" w:val="clear"/>
        </w:rPr>
        <w:t>19.13 A aplicação das sanções previstas neste edital não exclui, em hipótese alguma, a obrigação de reparação integral dos danos causados.</w:t>
      </w:r>
    </w:p>
    <w:p>
      <w:pPr>
        <w:pStyle w:val="Normal"/>
        <w:spacing w:lineRule="auto" w:line="276" w:before="57" w:after="0"/>
        <w:rPr>
          <w:rFonts w:ascii="Verdana" w:hAnsi="Verdana"/>
          <w:sz w:val="20"/>
          <w:szCs w:val="20"/>
        </w:rPr>
      </w:pPr>
      <w:r>
        <w:rPr>
          <w:rFonts w:ascii="Verdana" w:hAnsi="Verdana"/>
          <w:sz w:val="20"/>
          <w:szCs w:val="20"/>
        </w:rPr>
      </w:r>
    </w:p>
    <w:p>
      <w:pPr>
        <w:pStyle w:val="Nivel01"/>
        <w:spacing w:lineRule="auto" w:line="276" w:before="57" w:after="0"/>
        <w:rPr>
          <w:rFonts w:ascii="Verdana" w:hAnsi="Verdana"/>
        </w:rPr>
      </w:pPr>
      <w:r>
        <w:rPr>
          <w:rFonts w:cs="Arial" w:ascii="Verdana" w:hAnsi="Verdana"/>
        </w:rPr>
        <w:t>20. DA IMPUGNAÇÃO AO EDITAL E DO PEDIDO DE ESCLARECIMENTO</w:t>
      </w:r>
    </w:p>
    <w:p>
      <w:pPr>
        <w:pStyle w:val="ListParagraph"/>
        <w:spacing w:lineRule="auto" w:line="276" w:before="57" w:after="0"/>
        <w:ind w:left="0"/>
        <w:contextualSpacing w:val="false"/>
        <w:jc w:val="both"/>
        <w:rPr>
          <w:rFonts w:ascii="Verdana" w:hAnsi="Verdana"/>
          <w:sz w:val="20"/>
          <w:szCs w:val="20"/>
        </w:rPr>
      </w:pPr>
      <w:r>
        <w:rPr>
          <w:rFonts w:cs="Arial" w:ascii="Verdana" w:hAnsi="Verdana"/>
          <w:sz w:val="20"/>
          <w:szCs w:val="20"/>
        </w:rPr>
        <w:t xml:space="preserve">20.1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57" w:after="0"/>
        <w:ind w:left="0"/>
        <w:contextualSpacing w:val="false"/>
        <w:jc w:val="both"/>
        <w:rPr/>
      </w:pPr>
      <w:r>
        <w:rPr>
          <w:rFonts w:cs="Arial" w:ascii="Verdana" w:hAnsi="Verdana"/>
          <w:color w:val="000000"/>
          <w:sz w:val="20"/>
          <w:szCs w:val="20"/>
        </w:rPr>
        <w:t xml:space="preserve">20.2 A impugnação poderá ser realizada por forma eletrônica, pelo e-mail </w:t>
      </w:r>
      <w:hyperlink r:id="rId9">
        <w:r>
          <w:rPr>
            <w:rStyle w:val="ListLabel1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rPr>
        <w:t>20.3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rPr>
        <w:t>20.4 Acolhida a impugnação, será definida e publicada nova data para a realização do certame.</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rPr>
        <w:t xml:space="preserve">20.5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rPr>
        <w:t>20.7 As impugnações e pedidos de esclarecimentos não suspendem os prazos previstos no certame.</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rPr>
        <w:t>20.8 A concessão de efeito suspensivo à impugnação é medida excepcional e deverá ser motivada pelo pregoeiro, nos autos do processo de licitação.</w:t>
      </w:r>
    </w:p>
    <w:p>
      <w:pPr>
        <w:pStyle w:val="ListParagraph"/>
        <w:spacing w:lineRule="auto" w:line="276" w:before="57" w:after="0"/>
        <w:ind w:left="0"/>
        <w:contextualSpacing w:val="false"/>
        <w:jc w:val="both"/>
        <w:rPr>
          <w:rFonts w:ascii="Verdana" w:hAnsi="Verdana"/>
          <w:sz w:val="20"/>
          <w:szCs w:val="20"/>
        </w:rPr>
      </w:pPr>
      <w:r>
        <w:rPr>
          <w:rFonts w:cs="Arial" w:ascii="Verdana" w:hAnsi="Verdana"/>
          <w:color w:val="000000"/>
          <w:sz w:val="20"/>
          <w:szCs w:val="20"/>
        </w:rPr>
        <w:t>20.9 As respostas aos pedidos de esclarecimentos serão divulgadas pelo sistema e vincularão os participantes e a administração.</w:t>
      </w:r>
    </w:p>
    <w:p>
      <w:pPr>
        <w:pStyle w:val="ListParagraph"/>
        <w:spacing w:lineRule="auto" w:line="276"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spacing w:lineRule="auto" w:line="276" w:before="57" w:after="0"/>
        <w:rPr>
          <w:rFonts w:ascii="Verdana" w:hAnsi="Verdana"/>
        </w:rPr>
      </w:pPr>
      <w:r>
        <w:rPr>
          <w:rFonts w:cs="Arial" w:ascii="Verdana" w:hAnsi="Verdana"/>
        </w:rPr>
        <w:t>21. DAS DISPOSIÇÕES GERAIS</w:t>
      </w:r>
    </w:p>
    <w:p>
      <w:pPr>
        <w:pStyle w:val="Normal"/>
        <w:spacing w:lineRule="auto" w:line="276" w:before="57" w:after="0"/>
        <w:jc w:val="both"/>
        <w:rPr>
          <w:rFonts w:ascii="Verdana" w:hAnsi="Verdana"/>
          <w:sz w:val="20"/>
          <w:szCs w:val="20"/>
        </w:rPr>
      </w:pPr>
      <w:r>
        <w:rPr>
          <w:rFonts w:cs="Arial" w:ascii="Verdana" w:hAnsi="Verdana"/>
          <w:color w:val="000000"/>
          <w:sz w:val="20"/>
          <w:szCs w:val="20"/>
        </w:rPr>
        <w:t>21.1 Da sessão pública do Pregão divulgar-se-á Ata no sistema eletrônico.</w:t>
      </w:r>
    </w:p>
    <w:p>
      <w:pPr>
        <w:pStyle w:val="Normal"/>
        <w:spacing w:lineRule="auto" w:line="276" w:before="57" w:after="0"/>
        <w:jc w:val="both"/>
        <w:rPr>
          <w:rFonts w:ascii="Verdana" w:hAnsi="Verdana"/>
          <w:sz w:val="20"/>
          <w:szCs w:val="20"/>
        </w:rPr>
      </w:pPr>
      <w:r>
        <w:rPr>
          <w:rFonts w:cs="Arial" w:ascii="Verdana" w:hAnsi="Verdana"/>
          <w:color w:val="000000"/>
          <w:sz w:val="20"/>
          <w:szCs w:val="20"/>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57" w:after="0"/>
        <w:jc w:val="both"/>
        <w:rPr>
          <w:rFonts w:ascii="Verdana" w:hAnsi="Verdana"/>
          <w:sz w:val="20"/>
          <w:szCs w:val="20"/>
        </w:rPr>
      </w:pPr>
      <w:r>
        <w:rPr>
          <w:rFonts w:cs="Arial" w:ascii="Verdana" w:hAnsi="Verdana"/>
          <w:color w:val="000000"/>
          <w:sz w:val="20"/>
          <w:szCs w:val="20"/>
        </w:rPr>
        <w:t>21.3 Todas as referências de tempo no Edital, no aviso e durante a sessão pública observarão o horário de Brasília – DF.</w:t>
      </w:r>
    </w:p>
    <w:p>
      <w:pPr>
        <w:pStyle w:val="Normal"/>
        <w:spacing w:lineRule="auto" w:line="276" w:before="57" w:after="0"/>
        <w:jc w:val="both"/>
        <w:rPr>
          <w:rFonts w:ascii="Verdana" w:hAnsi="Verdana"/>
          <w:sz w:val="20"/>
          <w:szCs w:val="20"/>
        </w:rPr>
      </w:pPr>
      <w:r>
        <w:rPr>
          <w:rFonts w:cs="Arial" w:ascii="Verdana" w:hAnsi="Verdana"/>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57" w:after="0"/>
        <w:jc w:val="both"/>
        <w:rPr>
          <w:rFonts w:ascii="Verdana" w:hAnsi="Verdana"/>
          <w:sz w:val="20"/>
          <w:szCs w:val="20"/>
        </w:rPr>
      </w:pPr>
      <w:r>
        <w:rPr>
          <w:rFonts w:cs="Arial" w:ascii="Verdana" w:hAnsi="Verdana"/>
          <w:color w:val="000000"/>
          <w:sz w:val="20"/>
          <w:szCs w:val="20"/>
        </w:rPr>
        <w:t>21.5 A homologação do resultado desta licitação não implicará direito à contratação.</w:t>
      </w:r>
    </w:p>
    <w:p>
      <w:pPr>
        <w:pStyle w:val="Normal"/>
        <w:spacing w:lineRule="auto" w:line="276" w:before="57" w:after="0"/>
        <w:jc w:val="both"/>
        <w:rPr>
          <w:rFonts w:ascii="Verdana" w:hAnsi="Verdana"/>
          <w:sz w:val="20"/>
          <w:szCs w:val="20"/>
        </w:rPr>
      </w:pPr>
      <w:r>
        <w:rPr>
          <w:rFonts w:cs="Arial" w:ascii="Verdana" w:hAnsi="Verdana"/>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57" w:after="0"/>
        <w:jc w:val="both"/>
        <w:rPr>
          <w:rFonts w:ascii="Verdana" w:hAnsi="Verdana"/>
          <w:sz w:val="20"/>
          <w:szCs w:val="20"/>
        </w:rPr>
      </w:pPr>
      <w:r>
        <w:rPr>
          <w:rFonts w:cs="Arial" w:ascii="Verdana" w:hAnsi="Verdana"/>
          <w:color w:val="000000"/>
          <w:sz w:val="20"/>
          <w:szCs w:val="20"/>
        </w:rPr>
        <w:t>21.7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57" w:after="0"/>
        <w:jc w:val="both"/>
        <w:rPr>
          <w:rFonts w:ascii="Verdana" w:hAnsi="Verdana"/>
          <w:sz w:val="20"/>
          <w:szCs w:val="20"/>
        </w:rPr>
      </w:pPr>
      <w:r>
        <w:rPr>
          <w:rFonts w:cs="Arial" w:ascii="Verdana" w:hAnsi="Verdana"/>
          <w:color w:val="000000"/>
          <w:sz w:val="20"/>
          <w:szCs w:val="20"/>
        </w:rPr>
        <w:t>21.8 Na contagem dos prazos estabelecidos neste Edital e seus Anexos, excluir-se-á o dia do início e incluir-se-á o do vencimento. Só se iniciam e vencem os prazos em dias de expediente na Administração.</w:t>
      </w:r>
    </w:p>
    <w:p>
      <w:pPr>
        <w:pStyle w:val="Normal"/>
        <w:spacing w:lineRule="auto" w:line="276" w:before="57" w:after="0"/>
        <w:jc w:val="both"/>
        <w:rPr>
          <w:rFonts w:ascii="Verdana" w:hAnsi="Verdana"/>
          <w:sz w:val="20"/>
          <w:szCs w:val="20"/>
        </w:rPr>
      </w:pPr>
      <w:r>
        <w:rPr>
          <w:rFonts w:cs="Arial" w:ascii="Verdana" w:hAnsi="Verdana"/>
          <w:color w:val="000000"/>
          <w:sz w:val="20"/>
          <w:szCs w:val="20"/>
        </w:rPr>
        <w:t>21.9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57" w:after="0"/>
        <w:jc w:val="both"/>
        <w:rPr>
          <w:rFonts w:ascii="Verdana" w:hAnsi="Verdana"/>
          <w:sz w:val="20"/>
          <w:szCs w:val="20"/>
        </w:rPr>
      </w:pPr>
      <w:r>
        <w:rPr>
          <w:rFonts w:cs="Arial" w:ascii="Verdana" w:hAnsi="Verdana"/>
          <w:color w:val="000000"/>
          <w:sz w:val="20"/>
          <w:szCs w:val="20"/>
        </w:rPr>
        <w:t>21.10 Em caso de divergência entre disposições deste Edital e de seus anexos ou demais peças que compõem o processo, prevalecerá as deste Edital.</w:t>
      </w:r>
    </w:p>
    <w:p>
      <w:pPr>
        <w:pStyle w:val="Normal"/>
        <w:spacing w:lineRule="auto" w:line="276" w:before="57" w:after="0"/>
        <w:jc w:val="both"/>
        <w:rPr/>
      </w:pPr>
      <w:r>
        <w:rPr>
          <w:rFonts w:cs="Arial" w:ascii="Verdana" w:hAnsi="Verdana"/>
          <w:sz w:val="20"/>
          <w:szCs w:val="20"/>
        </w:rPr>
        <w:t xml:space="preserve">21.11 O Edital está disponibilizado, na íntegra, no endereço eletrônico </w:t>
      </w:r>
      <w:r>
        <w:rPr>
          <w:rStyle w:val="InternetLink"/>
          <w:rFonts w:cs="Arial" w:ascii="Verdana" w:hAnsi="Verdana"/>
          <w:color w:val="auto"/>
          <w:sz w:val="20"/>
          <w:szCs w:val="20"/>
          <w:u w:val="none"/>
        </w:rPr>
        <w:t>Portal de Compras P</w:t>
      </w:r>
      <w:r>
        <w:rPr>
          <w:rFonts w:ascii="Verdana" w:hAnsi="Verdana"/>
          <w:sz w:val="20"/>
          <w:szCs w:val="20"/>
        </w:rPr>
        <w:t xml:space="preserve">úblicas – </w:t>
      </w:r>
      <w:r>
        <w:rPr>
          <w:rFonts w:ascii="Verdana" w:hAnsi="Verdana"/>
          <w:b/>
          <w:sz w:val="20"/>
          <w:szCs w:val="20"/>
        </w:rPr>
        <w:t>www.portaldecompraspublicas.com.br</w:t>
      </w:r>
      <w:r>
        <w:rPr>
          <w:rFonts w:cs="Arial" w:ascii="Verdana" w:hAnsi="Verdana"/>
          <w:sz w:val="20"/>
          <w:szCs w:val="20"/>
        </w:rPr>
        <w:t>, e tamb</w:t>
      </w:r>
      <w:r>
        <w:rPr>
          <w:rFonts w:ascii="Verdana" w:hAnsi="Verdana"/>
          <w:sz w:val="20"/>
          <w:szCs w:val="20"/>
        </w:rPr>
        <w:t xml:space="preserve">ém poderá ser lido e/ou obtido através do site </w:t>
      </w:r>
      <w:hyperlink r:id="rId10">
        <w:r>
          <w:rPr>
            <w:rStyle w:val="Hyperlink"/>
            <w:rFonts w:ascii="Verdana" w:hAnsi="Verdana"/>
            <w:b/>
            <w:bCs/>
            <w:color w:val="auto"/>
            <w:sz w:val="20"/>
            <w:szCs w:val="20"/>
          </w:rPr>
          <w:t>www.saogabriel.es.gov.br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as 13h00min, mesmo endereço e período no qual os autos do processo administrativo permanecerão com vista franqueada aos interessados.</w:t>
      </w:r>
    </w:p>
    <w:p>
      <w:pPr>
        <w:pStyle w:val="Normal"/>
        <w:spacing w:lineRule="auto" w:line="276" w:before="57" w:after="0"/>
        <w:jc w:val="both"/>
        <w:rPr>
          <w:rFonts w:ascii="Verdana" w:hAnsi="Verdana"/>
          <w:sz w:val="20"/>
          <w:szCs w:val="20"/>
        </w:rPr>
      </w:pPr>
      <w:r>
        <w:rPr>
          <w:rFonts w:cs="Arial" w:ascii="Verdana" w:hAnsi="Verdana"/>
          <w:color w:val="000000"/>
          <w:sz w:val="20"/>
          <w:szCs w:val="20"/>
        </w:rPr>
        <w:t xml:space="preserve">21.12 Integram este Edital, para todos os fins e efeitos, os seguintes anexos. </w:t>
      </w:r>
    </w:p>
    <w:p>
      <w:pPr>
        <w:pStyle w:val="Normal"/>
        <w:spacing w:lineRule="auto" w:line="276" w:before="57" w:after="0"/>
        <w:jc w:val="both"/>
        <w:rPr>
          <w:rFonts w:ascii="Verdana" w:hAnsi="Verdana"/>
          <w:sz w:val="20"/>
          <w:szCs w:val="20"/>
        </w:rPr>
      </w:pPr>
      <w:r>
        <w:rPr>
          <w:rFonts w:cs="Arial" w:ascii="Verdana" w:hAnsi="Verdana"/>
          <w:color w:val="000000"/>
          <w:sz w:val="20"/>
          <w:szCs w:val="20"/>
        </w:rPr>
        <w:t>21.12.1 ANEXO I – Termo de Referência;</w:t>
      </w:r>
    </w:p>
    <w:p>
      <w:pPr>
        <w:pStyle w:val="Normal"/>
        <w:spacing w:lineRule="auto" w:line="276" w:before="57" w:after="0"/>
        <w:jc w:val="both"/>
        <w:rPr>
          <w:rFonts w:ascii="Verdana" w:hAnsi="Verdana"/>
          <w:sz w:val="20"/>
          <w:szCs w:val="20"/>
        </w:rPr>
      </w:pPr>
      <w:r>
        <w:rPr>
          <w:rFonts w:cs="Arial" w:ascii="Verdana" w:hAnsi="Verdana"/>
          <w:color w:val="000000"/>
          <w:sz w:val="20"/>
          <w:szCs w:val="20"/>
        </w:rPr>
        <w:t>21.12.1.1 ANEXO I-1 – Estudo Técnico Preliminar;</w:t>
      </w:r>
    </w:p>
    <w:p>
      <w:pPr>
        <w:pStyle w:val="Normal"/>
        <w:tabs>
          <w:tab w:val="clear" w:pos="720"/>
          <w:tab w:val="left" w:pos="800" w:leader="none"/>
        </w:tabs>
        <w:snapToGrid w:val="false"/>
        <w:spacing w:lineRule="auto" w:line="276" w:before="57" w:after="0"/>
        <w:jc w:val="both"/>
        <w:rPr>
          <w:rFonts w:ascii="Verdana" w:hAnsi="Verdana"/>
          <w:sz w:val="20"/>
          <w:szCs w:val="20"/>
        </w:rPr>
      </w:pPr>
      <w:r>
        <w:rPr>
          <w:rFonts w:cs="Arial" w:ascii="Verdana" w:hAnsi="Verdana"/>
          <w:color w:val="000000"/>
          <w:sz w:val="20"/>
          <w:szCs w:val="20"/>
        </w:rPr>
        <w:t>21.12.2 ANEXO II – Modelo Orientativo de Proposta;</w:t>
      </w:r>
    </w:p>
    <w:p>
      <w:pPr>
        <w:pStyle w:val="Normal"/>
        <w:tabs>
          <w:tab w:val="clear" w:pos="720"/>
          <w:tab w:val="left" w:pos="800" w:leader="none"/>
        </w:tabs>
        <w:snapToGrid w:val="false"/>
        <w:spacing w:lineRule="auto" w:line="276"/>
        <w:jc w:val="both"/>
        <w:rPr>
          <w:rFonts w:ascii="Verdana" w:hAnsi="Verdana"/>
          <w:sz w:val="20"/>
          <w:szCs w:val="20"/>
        </w:rPr>
      </w:pPr>
      <w:r>
        <w:rPr>
          <w:rFonts w:ascii="Verdana" w:hAnsi="Verdana"/>
          <w:sz w:val="20"/>
          <w:szCs w:val="20"/>
        </w:rPr>
      </w:r>
    </w:p>
    <w:p>
      <w:pPr>
        <w:pStyle w:val="Normal"/>
        <w:keepNext w:val="true"/>
        <w:keepLines/>
        <w:numPr>
          <w:ilvl w:val="0"/>
          <w:numId w:val="0"/>
        </w:numPr>
        <w:tabs>
          <w:tab w:val="clear" w:pos="720"/>
          <w:tab w:val="left" w:pos="567" w:leader="none"/>
        </w:tabs>
        <w:spacing w:lineRule="auto" w:line="276"/>
        <w:ind w:left="360"/>
        <w:jc w:val="center"/>
        <w:outlineLvl w:val="0"/>
        <w:rPr>
          <w:rFonts w:ascii="Verdana" w:hAnsi="Verdana"/>
          <w:sz w:val="20"/>
          <w:szCs w:val="20"/>
        </w:rPr>
      </w:pPr>
      <w:r>
        <w:rPr>
          <w:rFonts w:cs="Arial" w:ascii="Verdana" w:hAnsi="Verdana"/>
          <w:color w:val="000000"/>
          <w:sz w:val="20"/>
          <w:szCs w:val="20"/>
        </w:rPr>
        <w:t>São Gabriel da Palha/ES, 02 de junho de 2026.</w:t>
      </w:r>
    </w:p>
    <w:p>
      <w:pPr>
        <w:pStyle w:val="Normal"/>
        <w:numPr>
          <w:ilvl w:val="0"/>
          <w:numId w:val="0"/>
        </w:numPr>
        <w:tabs>
          <w:tab w:val="clear" w:pos="720"/>
          <w:tab w:val="left" w:pos="567" w:leader="none"/>
        </w:tabs>
        <w:spacing w:lineRule="auto" w:line="276"/>
        <w:ind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20"/>
          <w:tab w:val="left" w:pos="567" w:leader="none"/>
        </w:tabs>
        <w:spacing w:lineRule="auto" w:line="276"/>
        <w:ind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20"/>
          <w:tab w:val="left" w:pos="567" w:leader="none"/>
        </w:tabs>
        <w:spacing w:lineRule="auto" w:line="276"/>
        <w:ind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20"/>
          <w:tab w:val="left" w:pos="567" w:leader="none"/>
        </w:tabs>
        <w:spacing w:lineRule="auto" w:line="276"/>
        <w:ind w:left="360"/>
        <w:jc w:val="center"/>
        <w:outlineLvl w:val="0"/>
        <w:rPr>
          <w:rFonts w:ascii="Verdana" w:hAnsi="Verdana"/>
          <w:sz w:val="20"/>
          <w:szCs w:val="20"/>
        </w:rPr>
      </w:pPr>
      <w:r>
        <w:rPr>
          <w:rFonts w:ascii="Verdana" w:hAnsi="Verdana"/>
          <w:sz w:val="20"/>
          <w:szCs w:val="20"/>
        </w:rPr>
      </w:r>
    </w:p>
    <w:p>
      <w:pPr>
        <w:pStyle w:val="Normal"/>
        <w:tabs>
          <w:tab w:val="clear" w:pos="720"/>
          <w:tab w:val="left" w:pos="1440" w:leader="none"/>
        </w:tabs>
        <w:snapToGrid w:val="false"/>
        <w:spacing w:lineRule="auto" w:line="276"/>
        <w:jc w:val="center"/>
        <w:rPr>
          <w:rFonts w:ascii="Verdana" w:hAnsi="Verdana"/>
          <w:sz w:val="20"/>
          <w:szCs w:val="20"/>
        </w:rPr>
      </w:pPr>
      <w:r>
        <w:rPr>
          <w:rFonts w:cs="Calibri" w:ascii="Verdana" w:hAnsi="Verdana"/>
          <w:b/>
          <w:bCs/>
          <w:color w:val="000000"/>
          <w:sz w:val="20"/>
          <w:szCs w:val="20"/>
        </w:rPr>
        <w:t>MARCELLA FERREIRA ROSSONI ROCHA</w:t>
      </w:r>
    </w:p>
    <w:p>
      <w:pPr>
        <w:pStyle w:val="Normal"/>
        <w:keepNext w:val="true"/>
        <w:keepLines/>
        <w:numPr>
          <w:ilvl w:val="0"/>
          <w:numId w:val="0"/>
        </w:numPr>
        <w:tabs>
          <w:tab w:val="clear" w:pos="720"/>
          <w:tab w:val="left" w:pos="567" w:leader="none"/>
        </w:tabs>
        <w:spacing w:lineRule="auto" w:line="276"/>
        <w:ind w:left="360"/>
        <w:jc w:val="center"/>
        <w:outlineLvl w:val="0"/>
        <w:rPr>
          <w:rFonts w:ascii="Verdana" w:hAnsi="Verdana"/>
          <w:sz w:val="20"/>
          <w:szCs w:val="20"/>
        </w:rPr>
      </w:pPr>
      <w:r>
        <w:rPr>
          <w:rFonts w:eastAsia="" w:cs="Arial" w:ascii="Verdana" w:hAnsi="Verdana" w:eastAsiaTheme="majorEastAsia"/>
          <w:b/>
          <w:bCs/>
          <w:color w:val="000000"/>
          <w:sz w:val="20"/>
          <w:szCs w:val="20"/>
        </w:rPr>
        <w:t>Secretária Municipal de Saúde</w:t>
      </w:r>
    </w:p>
    <w:sectPr>
      <w:headerReference w:type="even" r:id="rId11"/>
      <w:headerReference w:type="default" r:id="rId12"/>
      <w:headerReference w:type="first" r:id="rId13"/>
      <w:footerReference w:type="even" r:id="rId14"/>
      <w:footerReference w:type="default" r:id="rId15"/>
      <w:footerReference w:type="first" r:id="rId16"/>
      <w:type w:val="nextPage"/>
      <w:pgSz w:w="11906" w:h="16838"/>
      <w:pgMar w:left="1367" w:right="872" w:gutter="0" w:header="517" w:top="1767" w:footer="386" w:bottom="99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swiss"/>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22">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22">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9"/>
      <w:numFmt w:val="decimal"/>
      <w:lvlText w:val="%1"/>
      <w:lvlJc w:val="left"/>
      <w:pPr>
        <w:tabs>
          <w:tab w:val="num" w:pos="0"/>
        </w:tabs>
        <w:ind w:left="630" w:hanging="630"/>
      </w:pPr>
      <w:rPr>
        <w:rFonts w:ascii="Verdana" w:hAnsi="Verdana" w:cs="Arial"/>
      </w:rPr>
    </w:lvl>
    <w:lvl w:ilvl="1">
      <w:start w:val="11"/>
      <w:numFmt w:val="decimal"/>
      <w:lvlText w:val="%1.%2"/>
      <w:lvlJc w:val="left"/>
      <w:pPr>
        <w:tabs>
          <w:tab w:val="num" w:pos="0"/>
        </w:tabs>
        <w:ind w:left="720" w:hanging="720"/>
      </w:pPr>
      <w:rPr>
        <w:rFonts w:ascii="Verdana" w:hAnsi="Verdana" w:cs="Arial"/>
      </w:rPr>
    </w:lvl>
    <w:lvl w:ilvl="2">
      <w:start w:val="3"/>
      <w:numFmt w:val="decimal"/>
      <w:lvlText w:val="%1.%2.%3"/>
      <w:lvlJc w:val="left"/>
      <w:pPr>
        <w:tabs>
          <w:tab w:val="num" w:pos="0"/>
        </w:tabs>
        <w:ind w:left="720" w:hanging="720"/>
      </w:pPr>
      <w:rPr>
        <w:rFonts w:ascii="Verdana" w:hAnsi="Verdana"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440" w:hanging="144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800" w:hanging="1800"/>
      </w:pPr>
      <w:rPr>
        <w:rFonts w:cs="Arial"/>
      </w:rPr>
    </w:lvl>
    <w:lvl w:ilvl="7">
      <w:start w:val="1"/>
      <w:numFmt w:val="decimal"/>
      <w:lvlText w:val="%1.%2.%3.%4.%5.%6.%7.%8"/>
      <w:lvlJc w:val="left"/>
      <w:pPr>
        <w:tabs>
          <w:tab w:val="num" w:pos="0"/>
        </w:tabs>
        <w:ind w:left="2160" w:hanging="2160"/>
      </w:pPr>
      <w:rPr>
        <w:rFonts w:cs="Arial"/>
      </w:rPr>
    </w:lvl>
    <w:lvl w:ilvl="8">
      <w:start w:val="1"/>
      <w:numFmt w:val="decimal"/>
      <w:lvlText w:val="%1.%2.%3.%4.%5.%6.%7.%8.%9"/>
      <w:lvlJc w:val="left"/>
      <w:pPr>
        <w:tabs>
          <w:tab w:val="num" w:pos="0"/>
        </w:tabs>
        <w:ind w:left="2160" w:hanging="2160"/>
      </w:pPr>
      <w:rPr>
        <w:rFonts w:cs="Arial"/>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bering>
</file>

<file path=word/settings.xml><?xml version="1.0" encoding="utf-8"?>
<w:settings xmlns:w="http://schemas.openxmlformats.org/wordprocessingml/2006/main">
  <w:zoom w:percent="100"/>
  <w:defaultTabStop w:val="720"/>
  <w:autoHyphenation w:val="true"/>
  <w:hyphenationZone w:val="425"/>
  <w:compat>
    <w:doNotBreakWrappedTables/>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cs="Tahoma" w:eastAsia="Segoe UI"/>
      <w:color w:val="auto"/>
      <w:kern w:val="0"/>
      <w:sz w:val="24"/>
      <w:szCs w:val="24"/>
      <w:lang w:eastAsia="pt-BR" w:val="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20"/>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3f78ab"/>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3f78ab"/>
    <w:rPr>
      <w:rFonts w:ascii="Ecofont_Spranq_eco_Sans" w:hAnsi="Ecofont_Spranq_eco_Sans" w:eastAsia="Arial Unicode MS" w:cs="Arial"/>
      <w:color w:val="000000"/>
      <w:lang w:eastAsia="pt-BR"/>
    </w:rPr>
  </w:style>
  <w:style w:type="character" w:styleId="InternetLink1" w:customStyle="1">
    <w:name w:val="Internet Link1"/>
    <w:uiPriority w:val="99"/>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t286pc" w:customStyle="1">
    <w:name w:val="t286pc"/>
    <w:basedOn w:val="DefaultParagraphFont"/>
    <w:qFormat/>
    <w:rsid w:val="00f12226"/>
    <w:rPr/>
  </w:style>
  <w:style w:type="character" w:styleId="InternetLink4">
    <w:name w:val="Internet Link4"/>
    <w:qFormat/>
    <w:rPr>
      <w:color w:val="000080"/>
      <w:u w:val="single"/>
    </w:rPr>
  </w:style>
  <w:style w:type="character" w:styleId="Strong" w:customStyle="1">
    <w:name w:val="Strong"/>
    <w:qFormat/>
    <w:rsid w:val="00db4379"/>
    <w:rPr>
      <w:b/>
      <w:bCs/>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customStyle="1">
    <w:name w:val="Cabeçalho e rodapé5"/>
    <w:basedOn w:val="Normal"/>
    <w:qFormat/>
    <w:pPr/>
    <w:rPr/>
  </w:style>
  <w:style w:type="paragraph" w:styleId="Cabealhoerodap6">
    <w:name w:val="Cabeçalho e rodapé6"/>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eastAsia="pt-BR" w:val="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cs="Calibri" w:eastAsia="Segoe U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uiPriority w:val="99"/>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atransparencia.gov.br/ceis" TargetMode="External"/><Relationship Id="rId3" Type="http://schemas.openxmlformats.org/officeDocument/2006/relationships/hyperlink" Target="http://www.cnj.jus.br/improbidade_adm/consultar_requerido.php" TargetMode="External"/><Relationship Id="rId4" Type="http://schemas.openxmlformats.org/officeDocument/2006/relationships/hyperlink" Target="https://www.tcees.tc.br/portal-da-transparencia/consultas/lista-de" TargetMode="External"/><Relationship Id="rId5" Type="http://schemas.openxmlformats.org/officeDocument/2006/relationships/hyperlink" Target="https://certidoesapf.apps.tcu.gov.br/" TargetMode="External"/><Relationship Id="rId6" Type="http://schemas.openxmlformats.org/officeDocument/2006/relationships/hyperlink" Target="http://www.portaldoempreendedor.gov.br/" TargetMode="External"/><Relationship Id="rId7" Type="http://schemas.openxmlformats.org/officeDocument/2006/relationships/hyperlink" Target="https://www.planalto.gov.br/ccivil_03/leis/lcp/lcp123.htm"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http://www.saogabriel.es.gov.br/" TargetMode="External"/><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header" Target="header3.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oter" Target="footer3.xm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settings" Target="settings.xml"/><Relationship Id="rId20"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3019</TotalTime>
  <Application>LibreOffice/24.2.6.2$Windows_X86_64 LibreOffice_project/ef66aa7e36a1bb8e65bfbc63aba53045a14d0871</Application>
  <AppVersion>15.0000</AppVersion>
  <Pages>21</Pages>
  <Words>9749</Words>
  <Characters>55440</Characters>
  <CharactersWithSpaces>64810</CharactersWithSpaces>
  <Paragraphs>366</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2025-07-07T17:35:00Z</dcterms:created>
  <dc:creator>Compras</dc:creator>
  <dc:description/>
  <dc:language>pt-BR</dc:language>
  <cp:lastModifiedBy/>
  <cp:lastPrinted>2026-06-02T15:21:00Z</cp:lastPrinted>
  <dcterms:modified xsi:type="dcterms:W3CDTF">2026-06-11T15:20:37Z</dcterms:modified>
  <cp:revision>166</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